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与信管理規程（ドラフト）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与信限度の設定、管理、債権保全、未入金対応及び回収管理に必要な手続を定め、当社と取引先との間の信用取引において、健全な販売活動を図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本規程は、当社が顧客その他取引先に対して掛取引、後払い、継続取引、分割払い、月額課金、納品前又は入金前に工数が発生する取引その他信用供与を伴う取引を行う場合に適用する。</w:t>
      </w:r>
    </w:p>
    <w:p>
      <w:pPr>
        <w:pStyle w:val="ListNumber"/>
        <w:spacing w:before="0" w:after="160" w:line="280" w:lineRule="auto"/>
        <w:ind w:left="720" w:hanging="360"/>
      </w:pPr>
      <w:r>
        <w:rPr>
          <w:rFonts w:ascii="Arial Unicode MS" w:hAnsi="Arial Unicode MS" w:eastAsia="Arial Unicode MS" w:cs="Arial Unicode MS"/>
          <w:b w:val="0"/>
          <w:i w:val="0"/>
        </w:rPr>
        <w:t>本規程は、原則としてすべての取引先に適用する。ただし、前払取引、少額取引、官公庁、上場会社その他信用リスクが低いと管理部が認める取引先については、確認手続を簡素化することができる。</w:t>
      </w:r>
    </w:p>
    <w:p>
      <w:pPr>
        <w:pStyle w:val="Heading2"/>
      </w:pPr>
      <w:r>
        <w:rPr>
          <w:rFonts w:ascii="Arial Unicode MS" w:hAnsi="Arial Unicode MS" w:eastAsia="Arial Unicode MS" w:cs="Arial Unicode MS"/>
          <w:b w:val="0"/>
          <w:i w:val="0"/>
        </w:rPr>
        <w:t>第3条（債権の範囲）</w:t>
      </w:r>
    </w:p>
    <w:p>
      <w:pPr>
        <w:spacing w:before="0" w:after="120" w:line="264" w:lineRule="auto"/>
      </w:pPr>
      <w:r>
        <w:rPr>
          <w:rFonts w:ascii="Arial Unicode MS" w:hAnsi="Arial Unicode MS" w:eastAsia="Arial Unicode MS" w:cs="Arial Unicode MS"/>
          <w:b w:val="0"/>
          <w:i w:val="0"/>
        </w:rPr>
        <w:t>本規程における債権とは、売掛金、未収入金、立替金、貸付金、仮払金その他取引先に対して当社が有する金銭債権をいう。</w:t>
      </w:r>
    </w:p>
    <w:p>
      <w:pPr>
        <w:pStyle w:val="Heading2"/>
      </w:pPr>
      <w:r>
        <w:rPr>
          <w:rFonts w:ascii="Arial Unicode MS" w:hAnsi="Arial Unicode MS" w:eastAsia="Arial Unicode MS" w:cs="Arial Unicode MS"/>
          <w:b w:val="0"/>
          <w:i w:val="0"/>
        </w:rPr>
        <w:t>第4条（定義）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与信限度とは、当社が取引先に対して設定する信用供与の最高限度をいう。</w:t>
      </w:r>
    </w:p>
    <w:p>
      <w:pPr>
        <w:pStyle w:val="ListNumber"/>
        <w:spacing w:before="0" w:after="160" w:line="280" w:lineRule="auto"/>
        <w:ind w:left="720" w:hanging="360"/>
      </w:pPr>
      <w:r>
        <w:rPr>
          <w:rFonts w:ascii="Arial Unicode MS" w:hAnsi="Arial Unicode MS" w:eastAsia="Arial Unicode MS" w:cs="Arial Unicode MS"/>
          <w:b w:val="0"/>
          <w:i w:val="0"/>
        </w:rPr>
        <w:t>与信限度の更新とは、取引先に対する与信限度を変更又は継続することをいう。</w:t>
      </w:r>
    </w:p>
    <w:p>
      <w:pPr>
        <w:pStyle w:val="ListNumber"/>
        <w:spacing w:before="0" w:after="160" w:line="280" w:lineRule="auto"/>
        <w:ind w:left="720" w:hanging="360"/>
      </w:pPr>
      <w:r>
        <w:rPr>
          <w:rFonts w:ascii="Arial Unicode MS" w:hAnsi="Arial Unicode MS" w:eastAsia="Arial Unicode MS" w:cs="Arial Unicode MS"/>
          <w:b w:val="0"/>
          <w:i w:val="0"/>
        </w:rPr>
        <w:t>純債権額とは、売掛金、未収入金、受注残高、未請求売上その他回収リスクのある金額から、前受金その他回収済みの金額を控除した金額をいう。</w:t>
      </w:r>
    </w:p>
    <w:p>
      <w:pPr>
        <w:pStyle w:val="Heading2"/>
      </w:pPr>
      <w:r>
        <w:rPr>
          <w:rFonts w:ascii="Arial Unicode MS" w:hAnsi="Arial Unicode MS" w:eastAsia="Arial Unicode MS" w:cs="Arial Unicode MS"/>
          <w:b w:val="0"/>
          <w:i w:val="0"/>
        </w:rPr>
        <w:t>第5条（主管部門及び責任者）</w:t>
      </w:r>
    </w:p>
    <w:p>
      <w:pPr>
        <w:spacing w:before="0" w:after="120" w:line="264" w:lineRule="auto"/>
      </w:pPr>
      <w:r>
        <w:rPr>
          <w:rFonts w:ascii="Arial Unicode MS" w:hAnsi="Arial Unicode MS" w:eastAsia="Arial Unicode MS" w:cs="Arial Unicode MS"/>
          <w:b w:val="0"/>
          <w:i w:val="0"/>
        </w:rPr>
        <w:t>与信管理の主管部署は、管理部とする。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与信管理の責任者は、管理部門責任者とする。管理部門責任者が未選任又は不在の場合、代表取締役社長が与信管理責任者を指名する。</w:t>
      </w:r>
    </w:p>
    <w:p>
      <w:pPr>
        <w:pStyle w:val="ListNumber"/>
        <w:spacing w:before="0" w:after="160" w:line="280" w:lineRule="auto"/>
        <w:ind w:left="720" w:hanging="360"/>
      </w:pPr>
      <w:r>
        <w:rPr>
          <w:rFonts w:ascii="Arial Unicode MS" w:hAnsi="Arial Unicode MS" w:eastAsia="Arial Unicode MS" w:cs="Arial Unicode MS"/>
          <w:b w:val="0"/>
          <w:i w:val="0"/>
        </w:rPr>
        <w:t>営業部その他担当部門は、取引先情報、商談内容、契約条件、請求条件、入金予定、未入金状況その他与信判断に必要な情報を管理部へ共有する。</w:t>
      </w:r>
    </w:p>
    <w:p>
      <w:pPr>
        <w:pStyle w:val="Heading2"/>
      </w:pPr>
      <w:r>
        <w:rPr>
          <w:rFonts w:ascii="Arial Unicode MS" w:hAnsi="Arial Unicode MS" w:eastAsia="Arial Unicode MS" w:cs="Arial Unicode MS"/>
          <w:b w:val="0"/>
          <w:i w:val="0"/>
        </w:rPr>
        <w:t>第6条（取引先情報の管理）</w:t>
      </w:r>
    </w:p>
    <w:p>
      <w:pPr>
        <w:spacing w:before="0" w:after="120" w:line="264" w:lineRule="auto"/>
      </w:pPr>
      <w:r>
        <w:rPr>
          <w:rFonts w:ascii="Arial Unicode MS" w:hAnsi="Arial Unicode MS" w:eastAsia="Arial Unicode MS" w:cs="Arial Unicode MS"/>
          <w:b w:val="0"/>
          <w:i w:val="0"/>
        </w:rPr>
        <w:t>取引先情報は、原則としてNotionで管理する。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Notionには、会社名、担当者、連絡先、取引内容、契約状況、請求条件、入金状況、与信確認日、与信確認者、与信判断、与信限度、反社チェック状況その他必要な情報を記録する。</w:t>
      </w:r>
    </w:p>
    <w:p>
      <w:pPr>
        <w:pStyle w:val="Heading1"/>
      </w:pPr>
      <w:r>
        <w:rPr>
          <w:rFonts w:ascii="Arial Unicode MS" w:hAnsi="Arial Unicode MS" w:eastAsia="Arial Unicode MS" w:cs="Arial Unicode MS"/>
          <w:b w:val="0"/>
          <w:i w:val="0"/>
        </w:rPr>
        <w:t>第2章　与信設定</w:t>
      </w:r>
    </w:p>
    <w:p>
      <w:pPr>
        <w:pStyle w:val="Heading2"/>
      </w:pPr>
      <w:r>
        <w:rPr>
          <w:rFonts w:ascii="Arial Unicode MS" w:hAnsi="Arial Unicode MS" w:eastAsia="Arial Unicode MS" w:cs="Arial Unicode MS"/>
          <w:b w:val="0"/>
          <w:i w:val="0"/>
        </w:rPr>
        <w:t>第7条（取引の開始）</w:t>
      </w:r>
    </w:p>
    <w:p>
      <w:pPr>
        <w:spacing w:before="0" w:after="120" w:line="264" w:lineRule="auto"/>
      </w:pPr>
      <w:r>
        <w:rPr>
          <w:rFonts w:ascii="Arial Unicode MS" w:hAnsi="Arial Unicode MS" w:eastAsia="Arial Unicode MS" w:cs="Arial Unicode MS"/>
          <w:b w:val="0"/>
          <w:i w:val="0"/>
        </w:rPr>
        <w:t>継続取引、後払い取引、月額課金取引、納品前又は入金前に工数が発生する取引その他信用供与を伴う取引を開始する場合は、本規程に基づき、与信確認を行い、必要に応じて与信限度を設定する。</w:t>
      </w:r>
    </w:p>
    <w:p>
      <w:pPr>
        <w:pStyle w:val="Heading2"/>
      </w:pPr>
      <w:r>
        <w:rPr>
          <w:rFonts w:ascii="Arial Unicode MS" w:hAnsi="Arial Unicode MS" w:eastAsia="Arial Unicode MS" w:cs="Arial Unicode MS"/>
          <w:b w:val="0"/>
          <w:i w:val="0"/>
        </w:rPr>
        <w:t>第8条（与信確認の対象）</w:t>
      </w:r>
    </w:p>
    <w:p>
      <w:pPr>
        <w:spacing w:before="0" w:after="120" w:line="264" w:lineRule="auto"/>
      </w:pPr>
      <w:r>
        <w:rPr>
          <w:rFonts w:ascii="Arial Unicode MS" w:hAnsi="Arial Unicode MS" w:eastAsia="Arial Unicode MS" w:cs="Arial Unicode MS"/>
          <w:b w:val="0"/>
          <w:i w:val="0"/>
        </w:rPr>
        <w:t>次の取引を行う場合、担当部門は、取引開始前又は契約締結前に与信確認を行う。</w:t>
      </w:r>
    </w:p>
    <w:p>
      <w:pPr>
        <w:pStyle w:val="ListNumber"/>
        <w:spacing w:before="0" w:after="160" w:line="280" w:lineRule="auto"/>
        <w:ind w:left="720" w:hanging="360"/>
      </w:pPr>
      <w:r>
        <w:rPr>
          <w:rFonts w:ascii="Arial Unicode MS" w:hAnsi="Arial Unicode MS" w:eastAsia="Arial Unicode MS" w:cs="Arial Unicode MS"/>
          <w:b w:val="0"/>
          <w:i w:val="0"/>
        </w:rPr>
        <w:t>掛取引又は後払い取引</w:t>
      </w:r>
    </w:p>
    <w:p>
      <w:pPr>
        <w:pStyle w:val="ListNumber"/>
        <w:spacing w:before="0" w:after="160" w:line="280" w:lineRule="auto"/>
        <w:ind w:left="720" w:hanging="360"/>
      </w:pPr>
      <w:r>
        <w:rPr>
          <w:rFonts w:ascii="Arial Unicode MS" w:hAnsi="Arial Unicode MS" w:eastAsia="Arial Unicode MS" w:cs="Arial Unicode MS"/>
          <w:b w:val="0"/>
          <w:i w:val="0"/>
        </w:rPr>
        <w:t>継続的な取引</w:t>
      </w:r>
    </w:p>
    <w:p>
      <w:pPr>
        <w:pStyle w:val="ListNumber"/>
        <w:spacing w:before="0" w:after="160" w:line="280" w:lineRule="auto"/>
        <w:ind w:left="720" w:hanging="360"/>
      </w:pPr>
      <w:r>
        <w:rPr>
          <w:rFonts w:ascii="Arial Unicode MS" w:hAnsi="Arial Unicode MS" w:eastAsia="Arial Unicode MS" w:cs="Arial Unicode MS"/>
          <w:b w:val="0"/>
          <w:i w:val="0"/>
        </w:rPr>
        <w:t>SaaS、AI伴走その他月額課金又は継続課金を伴う取引</w:t>
      </w:r>
    </w:p>
    <w:p>
      <w:pPr>
        <w:pStyle w:val="ListNumber"/>
        <w:spacing w:before="0" w:after="160" w:line="280" w:lineRule="auto"/>
        <w:ind w:left="720" w:hanging="360"/>
      </w:pPr>
      <w:r>
        <w:rPr>
          <w:rFonts w:ascii="Arial Unicode MS" w:hAnsi="Arial Unicode MS" w:eastAsia="Arial Unicode MS" w:cs="Arial Unicode MS"/>
          <w:b w:val="0"/>
          <w:i w:val="0"/>
        </w:rPr>
        <w:t>AI受託開発その他納品前又は入金前に工数が発生する取引</w:t>
      </w:r>
    </w:p>
    <w:p>
      <w:pPr>
        <w:pStyle w:val="ListNumber"/>
        <w:spacing w:before="0" w:after="160" w:line="280" w:lineRule="auto"/>
        <w:ind w:left="720" w:hanging="360"/>
      </w:pPr>
      <w:r>
        <w:rPr>
          <w:rFonts w:ascii="Arial Unicode MS" w:hAnsi="Arial Unicode MS" w:eastAsia="Arial Unicode MS" w:cs="Arial Unicode MS"/>
          <w:b w:val="0"/>
          <w:i w:val="0"/>
        </w:rPr>
        <w:t>高額取引又は回収期間が長い取引</w:t>
      </w:r>
    </w:p>
    <w:p>
      <w:pPr>
        <w:pStyle w:val="ListNumber"/>
        <w:spacing w:before="0" w:after="160" w:line="280" w:lineRule="auto"/>
        <w:ind w:left="720" w:hanging="360"/>
      </w:pPr>
      <w:r>
        <w:rPr>
          <w:rFonts w:ascii="Arial Unicode MS" w:hAnsi="Arial Unicode MS" w:eastAsia="Arial Unicode MS" w:cs="Arial Unicode MS"/>
          <w:b w:val="0"/>
          <w:i w:val="0"/>
        </w:rPr>
        <w:t>その他管理部又は代表取締役社長が必要と認める取引</w:t>
      </w:r>
    </w:p>
    <w:p>
      <w:pPr>
        <w:pStyle w:val="Heading2"/>
      </w:pPr>
      <w:r>
        <w:rPr>
          <w:rFonts w:ascii="Arial Unicode MS" w:hAnsi="Arial Unicode MS" w:eastAsia="Arial Unicode MS" w:cs="Arial Unicode MS"/>
          <w:b w:val="0"/>
          <w:i w:val="0"/>
        </w:rPr>
        <w:t>第9条（与信確認事項）</w:t>
      </w:r>
    </w:p>
    <w:p>
      <w:pPr>
        <w:spacing w:before="0" w:after="120" w:line="264" w:lineRule="auto"/>
      </w:pPr>
      <w:r>
        <w:rPr>
          <w:rFonts w:ascii="Arial Unicode MS" w:hAnsi="Arial Unicode MS" w:eastAsia="Arial Unicode MS" w:cs="Arial Unicode MS"/>
          <w:b w:val="0"/>
          <w:i w:val="0"/>
        </w:rPr>
        <w:t>与信確認では、必要に応じて次の事項を確認する。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取引先の基本情報</w:t>
      </w:r>
    </w:p>
    <w:p>
      <w:pPr>
        <w:pStyle w:val="ListNumber"/>
        <w:spacing w:before="0" w:after="160" w:line="280" w:lineRule="auto"/>
        <w:ind w:left="720" w:hanging="360"/>
      </w:pPr>
      <w:r>
        <w:rPr>
          <w:rFonts w:ascii="Arial Unicode MS" w:hAnsi="Arial Unicode MS" w:eastAsia="Arial Unicode MS" w:cs="Arial Unicode MS"/>
          <w:b w:val="0"/>
          <w:i w:val="0"/>
        </w:rPr>
        <w:t>事業内容及び取引目的</w:t>
      </w:r>
    </w:p>
    <w:p>
      <w:pPr>
        <w:pStyle w:val="ListNumber"/>
        <w:spacing w:before="0" w:after="160" w:line="280" w:lineRule="auto"/>
        <w:ind w:left="720" w:hanging="360"/>
      </w:pPr>
      <w:r>
        <w:rPr>
          <w:rFonts w:ascii="Arial Unicode MS" w:hAnsi="Arial Unicode MS" w:eastAsia="Arial Unicode MS" w:cs="Arial Unicode MS"/>
          <w:b w:val="0"/>
          <w:i w:val="0"/>
        </w:rPr>
        <w:t>取引金額及び支払条件</w:t>
      </w:r>
    </w:p>
    <w:p>
      <w:pPr>
        <w:pStyle w:val="ListNumber"/>
        <w:spacing w:before="0" w:after="160" w:line="280" w:lineRule="auto"/>
        <w:ind w:left="720" w:hanging="360"/>
      </w:pPr>
      <w:r>
        <w:rPr>
          <w:rFonts w:ascii="Arial Unicode MS" w:hAnsi="Arial Unicode MS" w:eastAsia="Arial Unicode MS" w:cs="Arial Unicode MS"/>
          <w:b w:val="0"/>
          <w:i w:val="0"/>
        </w:rPr>
        <w:t>過去の取引実績及び入金実績</w:t>
      </w:r>
    </w:p>
    <w:p>
      <w:pPr>
        <w:pStyle w:val="ListNumber"/>
        <w:spacing w:before="0" w:after="160" w:line="280" w:lineRule="auto"/>
        <w:ind w:left="720" w:hanging="360"/>
      </w:pPr>
      <w:r>
        <w:rPr>
          <w:rFonts w:ascii="Arial Unicode MS" w:hAnsi="Arial Unicode MS" w:eastAsia="Arial Unicode MS" w:cs="Arial Unicode MS"/>
          <w:b w:val="0"/>
          <w:i w:val="0"/>
        </w:rPr>
        <w:t>未入金、支払遅延、紛争の有無</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反社会的勢力との関係確認結果</w:t>
      </w:r>
    </w:p>
    <w:p>
      <w:pPr>
        <w:pStyle w:val="ListNumber"/>
        <w:spacing w:before="0" w:after="160" w:line="280" w:lineRule="auto"/>
        <w:ind w:left="720" w:hanging="360"/>
      </w:pPr>
      <w:r>
        <w:rPr>
          <w:rFonts w:ascii="Arial Unicode MS" w:hAnsi="Arial Unicode MS" w:eastAsia="Arial Unicode MS" w:cs="Arial Unicode MS"/>
          <w:b w:val="0"/>
          <w:i w:val="0"/>
        </w:rPr>
        <w:t>登記情報、Webサイト、公開情報、信用調査情報その他信用状況に関する情報</w:t>
      </w:r>
    </w:p>
    <w:p>
      <w:pPr>
        <w:pStyle w:val="ListNumber"/>
        <w:spacing w:before="0" w:after="160" w:line="280" w:lineRule="auto"/>
        <w:ind w:left="720" w:hanging="360"/>
      </w:pPr>
      <w:r>
        <w:rPr>
          <w:rFonts w:ascii="Arial Unicode MS" w:hAnsi="Arial Unicode MS" w:eastAsia="Arial Unicode MS" w:cs="Arial Unicode MS"/>
          <w:b w:val="0"/>
          <w:i w:val="0"/>
        </w:rPr>
        <w:t>その他与信判断に必要な事項</w:t>
      </w:r>
    </w:p>
    <w:p>
      <w:pPr>
        <w:pStyle w:val="Heading2"/>
      </w:pPr>
      <w:r>
        <w:rPr>
          <w:rFonts w:ascii="Arial Unicode MS" w:hAnsi="Arial Unicode MS" w:eastAsia="Arial Unicode MS" w:cs="Arial Unicode MS"/>
          <w:b w:val="0"/>
          <w:i w:val="0"/>
        </w:rPr>
        <w:t>第10条（与信限度額の設定）</w:t>
      </w:r>
    </w:p>
    <w:p>
      <w:pPr>
        <w:spacing w:before="0" w:after="120" w:line="264" w:lineRule="auto"/>
      </w:pPr>
      <w:r>
        <w:rPr>
          <w:rFonts w:ascii="Arial Unicode MS" w:hAnsi="Arial Unicode MS" w:eastAsia="Arial Unicode MS" w:cs="Arial Unicode MS"/>
          <w:b w:val="0"/>
          <w:i w:val="0"/>
        </w:rPr>
        <w:t>不良債権の発生を防止するため、管理部は、必要に応じて取引先ごとに与信限度額を設定する。</w:t>
      </w:r>
    </w:p>
    <w:p>
      <w:pPr>
        <w:pStyle w:val="ListNumber"/>
        <w:spacing w:before="0" w:after="160" w:line="280" w:lineRule="auto"/>
        <w:ind w:left="720" w:hanging="360"/>
      </w:pPr>
      <w:r>
        <w:rPr>
          <w:rFonts w:ascii="Arial Unicode MS" w:hAnsi="Arial Unicode MS" w:eastAsia="Arial Unicode MS" w:cs="Arial Unicode MS"/>
          <w:b w:val="0"/>
          <w:i w:val="0"/>
        </w:rPr>
        <w:t>与信限度額の設定にあたっては、次の事項を勘案して決定する。</w:t>
      </w:r>
    </w:p>
    <w:p>
      <w:pPr>
        <w:pStyle w:val="ListNumber"/>
        <w:spacing w:before="0" w:after="160" w:line="280" w:lineRule="auto"/>
        <w:ind w:left="720" w:hanging="360"/>
      </w:pPr>
      <w:r>
        <w:rPr>
          <w:rFonts w:ascii="Arial Unicode MS" w:hAnsi="Arial Unicode MS" w:eastAsia="Arial Unicode MS" w:cs="Arial Unicode MS"/>
          <w:b w:val="0"/>
          <w:i w:val="0"/>
        </w:rPr>
        <w:t>取引先の信用状況及び公開情報</w:t>
      </w:r>
    </w:p>
    <w:p>
      <w:pPr>
        <w:pStyle w:val="ListNumber"/>
        <w:spacing w:before="0" w:after="160" w:line="280" w:lineRule="auto"/>
        <w:ind w:left="720" w:hanging="360"/>
      </w:pPr>
      <w:r>
        <w:rPr>
          <w:rFonts w:ascii="Arial Unicode MS" w:hAnsi="Arial Unicode MS" w:eastAsia="Arial Unicode MS" w:cs="Arial Unicode MS"/>
          <w:b w:val="0"/>
          <w:i w:val="0"/>
        </w:rPr>
        <w:t>取引先の事業内容、業歴、規模及び支払実績</w:t>
      </w:r>
    </w:p>
    <w:p>
      <w:pPr>
        <w:pStyle w:val="ListNumber"/>
        <w:spacing w:before="0" w:after="160" w:line="280" w:lineRule="auto"/>
        <w:ind w:left="720" w:hanging="360"/>
      </w:pPr>
      <w:r>
        <w:rPr>
          <w:rFonts w:ascii="Arial Unicode MS" w:hAnsi="Arial Unicode MS" w:eastAsia="Arial Unicode MS" w:cs="Arial Unicode MS"/>
          <w:b w:val="0"/>
          <w:i w:val="0"/>
        </w:rPr>
        <w:t>取引金額、支払条件、回収期間及び契約期間</w:t>
      </w:r>
    </w:p>
    <w:p>
      <w:pPr>
        <w:pStyle w:val="ListNumber"/>
        <w:spacing w:before="0" w:after="160" w:line="280" w:lineRule="auto"/>
        <w:ind w:left="720" w:hanging="360"/>
      </w:pPr>
      <w:r>
        <w:rPr>
          <w:rFonts w:ascii="Arial Unicode MS" w:hAnsi="Arial Unicode MS" w:eastAsia="Arial Unicode MS" w:cs="Arial Unicode MS"/>
          <w:b w:val="0"/>
          <w:i w:val="0"/>
        </w:rPr>
        <w:t>当社が負担する工数、外注費、先行費用及び損害リスク</w:t>
      </w:r>
    </w:p>
    <w:p>
      <w:pPr>
        <w:pStyle w:val="ListNumber"/>
        <w:spacing w:before="0" w:after="160" w:line="280" w:lineRule="auto"/>
        <w:ind w:left="720" w:hanging="360"/>
      </w:pPr>
      <w:r>
        <w:rPr>
          <w:rFonts w:ascii="Arial Unicode MS" w:hAnsi="Arial Unicode MS" w:eastAsia="Arial Unicode MS" w:cs="Arial Unicode MS"/>
          <w:b w:val="0"/>
          <w:i w:val="0"/>
        </w:rPr>
        <w:t>過去の取引実績、入金実績及び未入金の有無</w:t>
      </w:r>
    </w:p>
    <w:p>
      <w:pPr>
        <w:pStyle w:val="ListNumber"/>
        <w:spacing w:before="0" w:after="160" w:line="280" w:lineRule="auto"/>
        <w:ind w:left="720" w:hanging="360"/>
      </w:pPr>
      <w:r>
        <w:rPr>
          <w:rFonts w:ascii="Arial Unicode MS" w:hAnsi="Arial Unicode MS" w:eastAsia="Arial Unicode MS" w:cs="Arial Unicode MS"/>
          <w:b w:val="0"/>
          <w:i w:val="0"/>
        </w:rPr>
        <w:t>その他必要と認められる事項</w:t>
      </w:r>
    </w:p>
    <w:p>
      <w:pPr>
        <w:pStyle w:val="ListNumber"/>
        <w:spacing w:before="0" w:after="160" w:line="280" w:lineRule="auto"/>
        <w:ind w:left="720" w:hanging="360"/>
      </w:pPr>
      <w:r>
        <w:rPr>
          <w:rFonts w:ascii="Arial Unicode MS" w:hAnsi="Arial Unicode MS" w:eastAsia="Arial Unicode MS" w:cs="Arial Unicode MS"/>
          <w:b w:val="0"/>
          <w:i w:val="0"/>
        </w:rPr>
        <w:t>官公庁、地方公共団体、上場会社、信用力が高いと合理的に判断できる法人、前払取引及び少額取引については、与信限度額の設定又は詳細調査を簡素化することができる。</w:t>
      </w:r>
    </w:p>
    <w:p>
      <w:pPr>
        <w:pStyle w:val="Heading2"/>
      </w:pPr>
      <w:r>
        <w:rPr>
          <w:rFonts w:ascii="Arial Unicode MS" w:hAnsi="Arial Unicode MS" w:eastAsia="Arial Unicode MS" w:cs="Arial Unicode MS"/>
          <w:b w:val="0"/>
          <w:i w:val="0"/>
        </w:rPr>
        <w:t>第11条（与信限度額の初期基準）</w:t>
      </w:r>
    </w:p>
    <w:p>
      <w:pPr>
        <w:spacing w:before="0" w:after="120" w:line="264" w:lineRule="auto"/>
      </w:pPr>
      <w:r>
        <w:rPr>
          <w:rFonts w:ascii="Arial Unicode MS" w:hAnsi="Arial Unicode MS" w:eastAsia="Arial Unicode MS" w:cs="Arial Unicode MS"/>
          <w:b w:val="0"/>
          <w:i w:val="0"/>
        </w:rPr>
        <w:t>与信限度額の初期基準は、次のとおりとする。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vAlign w:val="top"/>
            <w:shd w:fill="F2F4F7"/>
          </w:tcPr>
          <w:p>
            <w:pPr>
              <w:spacing w:before="0" w:after="0" w:line="264" w:lineRule="auto"/>
            </w:pPr>
            <w:r>
              <w:rPr>
                <w:rFonts w:ascii="Arial Unicode MS" w:hAnsi="Arial Unicode MS" w:eastAsia="Arial Unicode MS" w:cs="Arial Unicode MS"/>
                <w:b/>
                <w:i w:val="0"/>
                <w:sz w:val="18"/>
              </w:rPr>
              <w:t>区分</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基準</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承認</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少額取引</w:t>
            </w:r>
          </w:p>
        </w:tc>
        <w:tc>
          <w:tcPr>
            <w:tcW w:type="dxa" w:w="3120"/>
            <w:vAlign w:val="top"/>
          </w:tcPr>
          <w:p>
            <w:pPr>
              <w:spacing w:before="0" w:after="0" w:line="264" w:lineRule="auto"/>
            </w:pPr>
            <w:r>
              <w:rPr>
                <w:rFonts w:ascii="Arial Unicode MS" w:hAnsi="Arial Unicode MS" w:eastAsia="Arial Unicode MS" w:cs="Arial Unicode MS"/>
                <w:b w:val="0"/>
                <w:i w:val="0"/>
                <w:sz w:val="18"/>
              </w:rPr>
              <w:t>10万円未満</w:t>
            </w:r>
          </w:p>
        </w:tc>
        <w:tc>
          <w:tcPr>
            <w:tcW w:type="dxa" w:w="3120"/>
            <w:vAlign w:val="top"/>
          </w:tcPr>
          <w:p>
            <w:pPr>
              <w:spacing w:before="0" w:after="0" w:line="264" w:lineRule="auto"/>
            </w:pPr>
            <w:r>
              <w:rPr>
                <w:rFonts w:ascii="Arial Unicode MS" w:hAnsi="Arial Unicode MS" w:eastAsia="Arial Unicode MS" w:cs="Arial Unicode MS"/>
                <w:b w:val="0"/>
                <w:i w:val="0"/>
                <w:sz w:val="18"/>
              </w:rPr>
              <w:t>担当部門確認</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通常取引</w:t>
            </w:r>
          </w:p>
        </w:tc>
        <w:tc>
          <w:tcPr>
            <w:tcW w:type="dxa" w:w="3120"/>
            <w:vAlign w:val="top"/>
          </w:tcPr>
          <w:p>
            <w:pPr>
              <w:spacing w:before="0" w:after="0" w:line="264" w:lineRule="auto"/>
            </w:pPr>
            <w:r>
              <w:rPr>
                <w:rFonts w:ascii="Arial Unicode MS" w:hAnsi="Arial Unicode MS" w:eastAsia="Arial Unicode MS" w:cs="Arial Unicode MS"/>
                <w:b w:val="0"/>
                <w:i w:val="0"/>
                <w:sz w:val="18"/>
              </w:rPr>
              <w:t>10万円以上50万円未満</w:t>
            </w:r>
          </w:p>
        </w:tc>
        <w:tc>
          <w:tcPr>
            <w:tcW w:type="dxa" w:w="3120"/>
            <w:vAlign w:val="top"/>
          </w:tcPr>
          <w:p>
            <w:pPr>
              <w:spacing w:before="0" w:after="0" w:line="264" w:lineRule="auto"/>
            </w:pPr>
            <w:r>
              <w:rPr>
                <w:rFonts w:ascii="Arial Unicode MS" w:hAnsi="Arial Unicode MS" w:eastAsia="Arial Unicode MS" w:cs="Arial Unicode MS"/>
                <w:b w:val="0"/>
                <w:i w:val="0"/>
                <w:sz w:val="18"/>
              </w:rPr>
              <w:t>管理部確認</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重要取引</w:t>
            </w:r>
          </w:p>
        </w:tc>
        <w:tc>
          <w:tcPr>
            <w:tcW w:type="dxa" w:w="3120"/>
            <w:vAlign w:val="top"/>
          </w:tcPr>
          <w:p>
            <w:pPr>
              <w:spacing w:before="0" w:after="0" w:line="264" w:lineRule="auto"/>
            </w:pPr>
            <w:r>
              <w:rPr>
                <w:rFonts w:ascii="Arial Unicode MS" w:hAnsi="Arial Unicode MS" w:eastAsia="Arial Unicode MS" w:cs="Arial Unicode MS"/>
                <w:b w:val="0"/>
                <w:i w:val="0"/>
                <w:sz w:val="18"/>
              </w:rPr>
              <w:t>50万円以上100万円未満</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代表取締役社長承認</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高額取引</w:t>
            </w:r>
          </w:p>
        </w:tc>
        <w:tc>
          <w:tcPr>
            <w:tcW w:type="dxa" w:w="3120"/>
            <w:vAlign w:val="top"/>
          </w:tcPr>
          <w:p>
            <w:pPr>
              <w:spacing w:before="0" w:after="0" w:line="264" w:lineRule="auto"/>
            </w:pPr>
            <w:r>
              <w:rPr>
                <w:rFonts w:ascii="Arial Unicode MS" w:hAnsi="Arial Unicode MS" w:eastAsia="Arial Unicode MS" w:cs="Arial Unicode MS"/>
                <w:b w:val="0"/>
                <w:i w:val="0"/>
                <w:sz w:val="18"/>
              </w:rPr>
              <w:t>100万円以上</w:t>
            </w:r>
          </w:p>
        </w:tc>
        <w:tc>
          <w:tcPr>
            <w:tcW w:type="dxa" w:w="3120"/>
            <w:vAlign w:val="top"/>
          </w:tcPr>
          <w:p>
            <w:pPr>
              <w:spacing w:before="0" w:after="0" w:line="264" w:lineRule="auto"/>
            </w:pPr>
            <w:r>
              <w:rPr>
                <w:rFonts w:ascii="Arial Unicode MS" w:hAnsi="Arial Unicode MS" w:eastAsia="Arial Unicode MS" w:cs="Arial Unicode MS"/>
                <w:b w:val="0"/>
                <w:i w:val="0"/>
                <w:sz w:val="18"/>
              </w:rPr>
              <w:t>取締役会又は取締役会が定める承認機関</w:t>
            </w:r>
          </w:p>
        </w:tc>
      </w:tr>
    </w:tbl>
    <w:p/>
    <w:p>
      <w:pPr>
        <w:pStyle w:val="ListNumber"/>
        <w:spacing w:before="0" w:after="160" w:line="280" w:lineRule="auto"/>
        <w:ind w:left="720" w:hanging="360"/>
      </w:pPr>
      <w:r>
        <w:rPr>
          <w:rFonts w:ascii="Arial Unicode MS" w:hAnsi="Arial Unicode MS" w:eastAsia="Arial Unicode MS" w:cs="Arial Unicode MS"/>
          <w:b w:val="0"/>
          <w:i w:val="0"/>
        </w:rPr>
        <w:t>前項の金額は、単発取引の場合は取引総額、継続取引の場合は契約期間中の総額又は年間見込額により判断する。</w:t>
      </w:r>
    </w:p>
    <w:p>
      <w:pPr>
        <w:pStyle w:val="ListNumber"/>
        <w:spacing w:before="0" w:after="160" w:line="280" w:lineRule="auto"/>
        <w:ind w:left="720" w:hanging="360"/>
      </w:pPr>
      <w:r>
        <w:rPr>
          <w:rFonts w:ascii="Arial Unicode MS" w:hAnsi="Arial Unicode MS" w:eastAsia="Arial Unicode MS" w:cs="Arial Unicode MS"/>
          <w:b w:val="0"/>
          <w:i w:val="0"/>
        </w:rPr>
        <w:t>支払条件が通常と異なる場合、回収期間が長い場合、前受金がない場合又は納品前に重要な工数若しくは外注費が発生する場合は、金額にかかわらず上位の確認又は承認を求めることができる。</w:t>
      </w:r>
    </w:p>
    <w:p>
      <w:pPr>
        <w:pStyle w:val="Heading2"/>
      </w:pPr>
      <w:r>
        <w:rPr>
          <w:rFonts w:ascii="Arial Unicode MS" w:hAnsi="Arial Unicode MS" w:eastAsia="Arial Unicode MS" w:cs="Arial Unicode MS"/>
          <w:b w:val="0"/>
          <w:i w:val="0"/>
        </w:rPr>
        <w:t>第12条（与信限度の審査）</w:t>
      </w:r>
    </w:p>
    <w:p>
      <w:pPr>
        <w:spacing w:before="0" w:after="120" w:line="264" w:lineRule="auto"/>
      </w:pPr>
      <w:r>
        <w:rPr>
          <w:rFonts w:ascii="Arial Unicode MS" w:hAnsi="Arial Unicode MS" w:eastAsia="Arial Unicode MS" w:cs="Arial Unicode MS"/>
          <w:b w:val="0"/>
          <w:i w:val="0"/>
        </w:rPr>
        <w:t>各部門は、新規取引先候補又は与信限度の設定が必要な取引について、取引先情報、取引内容、見込金額、支払条件及び与信確認資料を管理部に提出又は共有する。</w:t>
      </w:r>
    </w:p>
    <w:p>
      <w:pPr>
        <w:pStyle w:val="ListNumber"/>
        <w:spacing w:before="0" w:after="160" w:line="280" w:lineRule="auto"/>
        <w:ind w:left="720" w:hanging="360"/>
      </w:pPr>
      <w:r>
        <w:rPr>
          <w:rFonts w:ascii="Arial Unicode MS" w:hAnsi="Arial Unicode MS" w:eastAsia="Arial Unicode MS" w:cs="Arial Unicode MS"/>
          <w:b w:val="0"/>
          <w:i w:val="0"/>
        </w:rPr>
        <w:t>管理部は、提出された情報を確認し、必要に応じて担当部門へ追加確認を求める。</w:t>
      </w:r>
    </w:p>
    <w:p>
      <w:pPr>
        <w:pStyle w:val="Heading2"/>
      </w:pPr>
      <w:r>
        <w:rPr>
          <w:rFonts w:ascii="Arial Unicode MS" w:hAnsi="Arial Unicode MS" w:eastAsia="Arial Unicode MS" w:cs="Arial Unicode MS"/>
          <w:b w:val="0"/>
          <w:i w:val="0"/>
        </w:rPr>
        <w:t>第13条（与信限度の登録）</w:t>
      </w:r>
    </w:p>
    <w:p>
      <w:pPr>
        <w:spacing w:before="0" w:after="120" w:line="264" w:lineRule="auto"/>
      </w:pPr>
      <w:r>
        <w:rPr>
          <w:rFonts w:ascii="Arial Unicode MS" w:hAnsi="Arial Unicode MS" w:eastAsia="Arial Unicode MS" w:cs="Arial Unicode MS"/>
          <w:b w:val="0"/>
          <w:i w:val="0"/>
        </w:rPr>
        <w:t>与信限度及び与信判断の結果は、所定の承認を経たうえで、管理部がNotionその他会社が指定する管理資料に登録する。</w:t>
      </w:r>
    </w:p>
    <w:p>
      <w:pPr>
        <w:pStyle w:val="ListNumber"/>
        <w:spacing w:before="0" w:after="160" w:line="280" w:lineRule="auto"/>
        <w:ind w:left="720" w:hanging="360"/>
      </w:pPr>
      <w:r>
        <w:rPr>
          <w:rFonts w:ascii="Arial Unicode MS" w:hAnsi="Arial Unicode MS" w:eastAsia="Arial Unicode MS" w:cs="Arial Unicode MS"/>
          <w:b w:val="0"/>
          <w:i w:val="0"/>
        </w:rPr>
        <w:t>登録事項には、取引先名、与信限度額、与信判断日、確認者、承認者、確認資料、次回見直し日及び特記事項を含める。</w:t>
      </w:r>
    </w:p>
    <w:p>
      <w:pPr>
        <w:pStyle w:val="Heading1"/>
      </w:pPr>
      <w:r>
        <w:rPr>
          <w:rFonts w:ascii="Arial Unicode MS" w:hAnsi="Arial Unicode MS" w:eastAsia="Arial Unicode MS" w:cs="Arial Unicode MS"/>
          <w:b w:val="0"/>
          <w:i w:val="0"/>
        </w:rPr>
        <w:t>第3章　与信管理</w:t>
      </w:r>
    </w:p>
    <w:p>
      <w:pPr>
        <w:pStyle w:val="Heading2"/>
      </w:pPr>
      <w:r>
        <w:rPr>
          <w:rFonts w:ascii="Arial Unicode MS" w:hAnsi="Arial Unicode MS" w:eastAsia="Arial Unicode MS" w:cs="Arial Unicode MS"/>
          <w:b w:val="0"/>
          <w:i w:val="0"/>
        </w:rPr>
        <w:t>第14条（与信限度の総括管理）</w:t>
      </w:r>
    </w:p>
    <w:p>
      <w:pPr>
        <w:spacing w:before="0" w:after="120" w:line="264" w:lineRule="auto"/>
      </w:pPr>
      <w:r>
        <w:rPr>
          <w:rFonts w:ascii="Arial Unicode MS" w:hAnsi="Arial Unicode MS" w:eastAsia="Arial Unicode MS" w:cs="Arial Unicode MS"/>
          <w:b w:val="0"/>
          <w:i w:val="0"/>
        </w:rPr>
        <w:t>与信限度の管理は、管理部が総括する。</w:t>
      </w:r>
    </w:p>
    <w:p>
      <w:pPr>
        <w:pStyle w:val="ListNumber"/>
        <w:spacing w:before="0" w:after="160" w:line="280" w:lineRule="auto"/>
        <w:ind w:left="720" w:hanging="360"/>
      </w:pPr>
      <w:r>
        <w:rPr>
          <w:rFonts w:ascii="Arial Unicode MS" w:hAnsi="Arial Unicode MS" w:eastAsia="Arial Unicode MS" w:cs="Arial Unicode MS"/>
          <w:b w:val="0"/>
          <w:i w:val="0"/>
        </w:rPr>
        <w:t>管理部は、与信限度の設定、変更、更新及び失効に関する資料を保管する。</w:t>
      </w:r>
    </w:p>
    <w:p>
      <w:pPr>
        <w:pStyle w:val="ListNumber"/>
        <w:spacing w:before="0" w:after="160" w:line="280" w:lineRule="auto"/>
        <w:ind w:left="720" w:hanging="360"/>
      </w:pPr>
      <w:r>
        <w:rPr>
          <w:rFonts w:ascii="Arial Unicode MS" w:hAnsi="Arial Unicode MS" w:eastAsia="Arial Unicode MS" w:cs="Arial Unicode MS"/>
          <w:b w:val="0"/>
          <w:i w:val="0"/>
        </w:rPr>
        <w:t>日常的な与信限度の管理は、各部門が行い、取引額、受注残高、未請求、未入金その他信用供与額に変動がある場合は、管理部に共有する。</w:t>
      </w:r>
    </w:p>
    <w:p>
      <w:pPr>
        <w:pStyle w:val="Heading2"/>
      </w:pPr>
      <w:r>
        <w:rPr>
          <w:rFonts w:ascii="Arial Unicode MS" w:hAnsi="Arial Unicode MS" w:eastAsia="Arial Unicode MS" w:cs="Arial Unicode MS"/>
          <w:b w:val="0"/>
          <w:i w:val="0"/>
        </w:rPr>
        <w:t>第15条（与信限度額の管理）</w:t>
      </w:r>
    </w:p>
    <w:p>
      <w:pPr>
        <w:spacing w:before="0" w:after="120" w:line="264" w:lineRule="auto"/>
      </w:pPr>
      <w:r>
        <w:rPr>
          <w:rFonts w:ascii="Arial Unicode MS" w:hAnsi="Arial Unicode MS" w:eastAsia="Arial Unicode MS" w:cs="Arial Unicode MS"/>
          <w:b w:val="0"/>
          <w:i w:val="0"/>
        </w:rPr>
        <w:t>各部門は、常に与信限度額の遵守に努めなければならない。</w:t>
      </w:r>
    </w:p>
    <w:p>
      <w:pPr>
        <w:pStyle w:val="ListNumber"/>
        <w:spacing w:before="0" w:after="160" w:line="280" w:lineRule="auto"/>
        <w:ind w:left="720" w:hanging="360"/>
      </w:pPr>
      <w:r>
        <w:rPr>
          <w:rFonts w:ascii="Arial Unicode MS" w:hAnsi="Arial Unicode MS" w:eastAsia="Arial Unicode MS" w:cs="Arial Unicode MS"/>
          <w:b w:val="0"/>
          <w:i w:val="0"/>
        </w:rPr>
        <w:t>与信限度設定先については、売掛金、未収入金、受注残高、未請求売上及び入金予定を考慮し、純債権額が与信限度額を超えないよう管理する。</w:t>
      </w:r>
    </w:p>
    <w:p>
      <w:pPr>
        <w:pStyle w:val="ListNumber"/>
        <w:spacing w:before="0" w:after="160" w:line="280" w:lineRule="auto"/>
        <w:ind w:left="720" w:hanging="360"/>
      </w:pPr>
      <w:r>
        <w:rPr>
          <w:rFonts w:ascii="Arial Unicode MS" w:hAnsi="Arial Unicode MS" w:eastAsia="Arial Unicode MS" w:cs="Arial Unicode MS"/>
          <w:b w:val="0"/>
          <w:i w:val="0"/>
        </w:rPr>
        <w:t>特に注意を要すると判断した取引先については、前金、分割入金、追加受注停止、サービス提供停止、契約条件変更その他必要な措置を検討する。</w:t>
      </w:r>
    </w:p>
    <w:p>
      <w:pPr>
        <w:pStyle w:val="Heading2"/>
      </w:pPr>
      <w:r>
        <w:rPr>
          <w:rFonts w:ascii="Arial Unicode MS" w:hAnsi="Arial Unicode MS" w:eastAsia="Arial Unicode MS" w:cs="Arial Unicode MS"/>
          <w:b w:val="0"/>
          <w:i w:val="0"/>
        </w:rPr>
        <w:t>第16条（与信限度額超過への対応）</w:t>
      </w:r>
    </w:p>
    <w:p>
      <w:pPr>
        <w:spacing w:before="0" w:after="120" w:line="264" w:lineRule="auto"/>
      </w:pPr>
      <w:r>
        <w:rPr>
          <w:rFonts w:ascii="Arial Unicode MS" w:hAnsi="Arial Unicode MS" w:eastAsia="Arial Unicode MS" w:cs="Arial Unicode MS"/>
          <w:b w:val="0"/>
          <w:i w:val="0"/>
        </w:rPr>
        <w:t>取引高、受注残高、支払条件又は未入金状況により、与信限度額超過の可能性がある場合、各部門は速やかに内容を調査し、管理部へ報告する。</w:t>
      </w:r>
    </w:p>
    <w:p>
      <w:pPr>
        <w:pStyle w:val="ListNumber"/>
        <w:spacing w:before="0" w:after="160" w:line="280" w:lineRule="auto"/>
        <w:ind w:left="720" w:hanging="360"/>
      </w:pPr>
      <w:r>
        <w:rPr>
          <w:rFonts w:ascii="Arial Unicode MS" w:hAnsi="Arial Unicode MS" w:eastAsia="Arial Unicode MS" w:cs="Arial Unicode MS"/>
          <w:b w:val="0"/>
          <w:i w:val="0"/>
        </w:rPr>
        <w:t>与信限度額の超過が一時的であると見込まれる場合であっても、担当部門は、理由、期間、回収見込及び対応策を管理部に共有し、必要な承認を得る。</w:t>
      </w:r>
    </w:p>
    <w:p>
      <w:pPr>
        <w:pStyle w:val="ListNumber"/>
        <w:spacing w:before="0" w:after="160" w:line="280" w:lineRule="auto"/>
        <w:ind w:left="720" w:hanging="360"/>
      </w:pPr>
      <w:r>
        <w:rPr>
          <w:rFonts w:ascii="Arial Unicode MS" w:hAnsi="Arial Unicode MS" w:eastAsia="Arial Unicode MS" w:cs="Arial Unicode MS"/>
          <w:b w:val="0"/>
          <w:i w:val="0"/>
        </w:rPr>
        <w:t>与信限度額の超過が一時的でないと見込まれる場合又は回収懸念がある場合、管理部は、代表取締役社長へ報告し、必要に応じて受注停止、追加取引停止、前金条件への変更その他措置を行う。</w:t>
      </w:r>
    </w:p>
    <w:p>
      <w:pPr>
        <w:pStyle w:val="Heading2"/>
      </w:pPr>
      <w:r>
        <w:rPr>
          <w:rFonts w:ascii="Arial Unicode MS" w:hAnsi="Arial Unicode MS" w:eastAsia="Arial Unicode MS" w:cs="Arial Unicode MS"/>
          <w:b w:val="0"/>
          <w:i w:val="0"/>
        </w:rPr>
        <w:t>第17条（取引先の業況把握）</w:t>
      </w:r>
    </w:p>
    <w:p>
      <w:pPr>
        <w:spacing w:before="0" w:after="120" w:line="264" w:lineRule="auto"/>
      </w:pPr>
      <w:r>
        <w:rPr>
          <w:rFonts w:ascii="Arial Unicode MS" w:hAnsi="Arial Unicode MS" w:eastAsia="Arial Unicode MS" w:cs="Arial Unicode MS"/>
          <w:b w:val="0"/>
          <w:i w:val="0"/>
        </w:rPr>
        <w:t>担当部門は、日常の営業活動において取引先の業況、支払姿勢、担当者変更、組織変更、支払遅延、クレーム、信用不安情報その他与信限度に影響を与える情報を把握するよう努める。</w:t>
      </w:r>
    </w:p>
    <w:p>
      <w:pPr>
        <w:pStyle w:val="ListNumber"/>
        <w:spacing w:before="0" w:after="160" w:line="280" w:lineRule="auto"/>
        <w:ind w:left="720" w:hanging="360"/>
      </w:pPr>
      <w:r>
        <w:rPr>
          <w:rFonts w:ascii="Arial Unicode MS" w:hAnsi="Arial Unicode MS" w:eastAsia="Arial Unicode MS" w:cs="Arial Unicode MS"/>
          <w:b w:val="0"/>
          <w:i w:val="0"/>
        </w:rPr>
        <w:t>担当部門は、与信限度額に影響を与える業況の変化を把握した場合、速やかに管理部へ報告し、必要に応じて与信限度変更を申請する。</w:t>
      </w:r>
    </w:p>
    <w:p>
      <w:pPr>
        <w:pStyle w:val="Heading2"/>
      </w:pPr>
      <w:r>
        <w:rPr>
          <w:rFonts w:ascii="Arial Unicode MS" w:hAnsi="Arial Unicode MS" w:eastAsia="Arial Unicode MS" w:cs="Arial Unicode MS"/>
          <w:b w:val="0"/>
          <w:i w:val="0"/>
        </w:rPr>
        <w:t>第18条（与信限度額の見直し）</w:t>
      </w:r>
    </w:p>
    <w:p>
      <w:pPr>
        <w:spacing w:before="0" w:after="120" w:line="264" w:lineRule="auto"/>
      </w:pPr>
      <w:r>
        <w:rPr>
          <w:rFonts w:ascii="Arial Unicode MS" w:hAnsi="Arial Unicode MS" w:eastAsia="Arial Unicode MS" w:cs="Arial Unicode MS"/>
          <w:b w:val="0"/>
          <w:i w:val="0"/>
        </w:rPr>
        <w:t>新規に与信限度額を設定した取引先については、取引開始後3か月を目安に、取引状況及び入金状況を確認することができる。</w:t>
      </w:r>
    </w:p>
    <w:p>
      <w:pPr>
        <w:pStyle w:val="ListNumber"/>
        <w:spacing w:before="0" w:after="160" w:line="280" w:lineRule="auto"/>
        <w:ind w:left="720" w:hanging="360"/>
      </w:pPr>
      <w:r>
        <w:rPr>
          <w:rFonts w:ascii="Arial Unicode MS" w:hAnsi="Arial Unicode MS" w:eastAsia="Arial Unicode MS" w:cs="Arial Unicode MS"/>
          <w:b w:val="0"/>
          <w:i w:val="0"/>
        </w:rPr>
        <w:t>与信期間は原則として1年間とし、設定された与信限度は、少なくとも年1回見直しを行う。</w:t>
      </w:r>
    </w:p>
    <w:p>
      <w:pPr>
        <w:pStyle w:val="ListNumber"/>
        <w:spacing w:before="0" w:after="160" w:line="280" w:lineRule="auto"/>
        <w:ind w:left="720" w:hanging="360"/>
      </w:pPr>
      <w:r>
        <w:rPr>
          <w:rFonts w:ascii="Arial Unicode MS" w:hAnsi="Arial Unicode MS" w:eastAsia="Arial Unicode MS" w:cs="Arial Unicode MS"/>
          <w:b w:val="0"/>
          <w:i w:val="0"/>
        </w:rPr>
        <w:t>見直しにあたっては、取引先ごとの取引実績、入金実績、今後の取引見込み、支払遅延の有無、反社チェック状況及び第10条第2項に定める事項を確認する。</w:t>
      </w:r>
    </w:p>
    <w:p>
      <w:pPr>
        <w:pStyle w:val="Heading2"/>
      </w:pPr>
      <w:r>
        <w:rPr>
          <w:rFonts w:ascii="Arial Unicode MS" w:hAnsi="Arial Unicode MS" w:eastAsia="Arial Unicode MS" w:cs="Arial Unicode MS"/>
          <w:b w:val="0"/>
          <w:i w:val="0"/>
        </w:rPr>
        <w:t>第19条（与信限度の失効）</w:t>
      </w:r>
    </w:p>
    <w:p>
      <w:pPr>
        <w:spacing w:before="0" w:after="120" w:line="264" w:lineRule="auto"/>
      </w:pPr>
      <w:r>
        <w:rPr>
          <w:rFonts w:ascii="Arial Unicode MS" w:hAnsi="Arial Unicode MS" w:eastAsia="Arial Unicode MS" w:cs="Arial Unicode MS"/>
          <w:b w:val="0"/>
          <w:i w:val="0"/>
        </w:rPr>
        <w:t>取引先が次のいずれかに該当するときは、与信限度は失効する。</w:t>
      </w:r>
    </w:p>
    <w:p>
      <w:pPr>
        <w:pStyle w:val="ListNumber"/>
        <w:spacing w:before="0" w:after="160" w:line="280" w:lineRule="auto"/>
        <w:ind w:left="720" w:hanging="360"/>
      </w:pPr>
      <w:r>
        <w:rPr>
          <w:rFonts w:ascii="Arial Unicode MS" w:hAnsi="Arial Unicode MS" w:eastAsia="Arial Unicode MS" w:cs="Arial Unicode MS"/>
          <w:b w:val="0"/>
          <w:i w:val="0"/>
        </w:rPr>
        <w:t>取引先との取引を中止し、取引再開時に当初与信を設定又は更新した日から1年が経過しているとき</w:t>
      </w:r>
    </w:p>
    <w:p>
      <w:pPr>
        <w:pStyle w:val="ListNumber"/>
        <w:spacing w:before="0" w:after="160" w:line="280" w:lineRule="auto"/>
        <w:ind w:left="720" w:hanging="360"/>
      </w:pPr>
      <w:r>
        <w:rPr>
          <w:rFonts w:ascii="Arial Unicode MS" w:hAnsi="Arial Unicode MS" w:eastAsia="Arial Unicode MS" w:cs="Arial Unicode MS"/>
          <w:b w:val="0"/>
          <w:i w:val="0"/>
        </w:rPr>
        <w:t>与信期間が満了し、更新手続が行われていないとき</w:t>
      </w:r>
    </w:p>
    <w:p>
      <w:pPr>
        <w:pStyle w:val="ListNumber"/>
        <w:spacing w:before="0" w:after="160" w:line="280" w:lineRule="auto"/>
        <w:ind w:left="720" w:hanging="360"/>
      </w:pPr>
      <w:r>
        <w:rPr>
          <w:rFonts w:ascii="Arial Unicode MS" w:hAnsi="Arial Unicode MS" w:eastAsia="Arial Unicode MS" w:cs="Arial Unicode MS"/>
          <w:b w:val="0"/>
          <w:i w:val="0"/>
        </w:rPr>
        <w:t>取引先について信用不安、支払遅延、反社懸念その他重大な事情が生じたとき</w:t>
      </w:r>
    </w:p>
    <w:p>
      <w:pPr>
        <w:pStyle w:val="ListNumber"/>
        <w:spacing w:before="0" w:after="160" w:line="280" w:lineRule="auto"/>
        <w:ind w:left="720" w:hanging="360"/>
      </w:pPr>
      <w:r>
        <w:rPr>
          <w:rFonts w:ascii="Arial Unicode MS" w:hAnsi="Arial Unicode MS" w:eastAsia="Arial Unicode MS" w:cs="Arial Unicode MS"/>
          <w:b w:val="0"/>
          <w:i w:val="0"/>
        </w:rPr>
        <w:t>管理部又は代表取締役社長が与信限度の失効が必要と判断したとき</w:t>
      </w:r>
    </w:p>
    <w:p>
      <w:pPr>
        <w:pStyle w:val="Heading1"/>
      </w:pPr>
      <w:r>
        <w:rPr>
          <w:rFonts w:ascii="Arial Unicode MS" w:hAnsi="Arial Unicode MS" w:eastAsia="Arial Unicode MS" w:cs="Arial Unicode MS"/>
          <w:b w:val="0"/>
          <w:i w:val="0"/>
        </w:rPr>
        <w:t>第4章　債権保全及び回収管理</w:t>
      </w:r>
    </w:p>
    <w:p>
      <w:pPr>
        <w:pStyle w:val="Heading2"/>
      </w:pPr>
      <w:r>
        <w:rPr>
          <w:rFonts w:ascii="Arial Unicode MS" w:hAnsi="Arial Unicode MS" w:eastAsia="Arial Unicode MS" w:cs="Arial Unicode MS"/>
          <w:b w:val="0"/>
          <w:i w:val="0"/>
        </w:rPr>
        <w:t>第20条（担保、前払及び保証金）</w:t>
      </w:r>
    </w:p>
    <w:p>
      <w:pPr>
        <w:spacing w:before="0" w:after="120" w:line="264" w:lineRule="auto"/>
      </w:pPr>
      <w:r>
        <w:rPr>
          <w:rFonts w:ascii="Arial Unicode MS" w:hAnsi="Arial Unicode MS" w:eastAsia="Arial Unicode MS" w:cs="Arial Unicode MS"/>
          <w:b w:val="0"/>
          <w:i w:val="0"/>
        </w:rPr>
        <w:t>取引先との取引にあたり、担当部門又は管理部が債権保全を必要と判断するときは、原則として、支払条件として前払、分割入金、保証金、担保、連帯保証その他債権保全策を求める。</w:t>
      </w:r>
    </w:p>
    <w:p>
      <w:pPr>
        <w:pStyle w:val="ListNumber"/>
        <w:spacing w:before="0" w:after="160" w:line="280" w:lineRule="auto"/>
        <w:ind w:left="720" w:hanging="360"/>
      </w:pPr>
      <w:r>
        <w:rPr>
          <w:rFonts w:ascii="Arial Unicode MS" w:hAnsi="Arial Unicode MS" w:eastAsia="Arial Unicode MS" w:cs="Arial Unicode MS"/>
          <w:b w:val="0"/>
          <w:i w:val="0"/>
        </w:rPr>
        <w:t>担保、保証金、連帯保証その他法的手続を伴う債権保全策を行う場合、管理部又は法務担当者と協議し、必要に応じて外部専門家の助言を得る。</w:t>
      </w:r>
    </w:p>
    <w:p>
      <w:pPr>
        <w:pStyle w:val="ListNumber"/>
        <w:spacing w:before="0" w:after="160" w:line="280" w:lineRule="auto"/>
        <w:ind w:left="720" w:hanging="360"/>
      </w:pPr>
      <w:r>
        <w:rPr>
          <w:rFonts w:ascii="Arial Unicode MS" w:hAnsi="Arial Unicode MS" w:eastAsia="Arial Unicode MS" w:cs="Arial Unicode MS"/>
          <w:b w:val="0"/>
          <w:i w:val="0"/>
        </w:rPr>
        <w:t>AI受託開発、OEMその他納品前に先行工数又は外注費が大きく発生する案件については、前金、分割入金その他回収リスクを低減する支払条件を設定することを原則とする。</w:t>
      </w:r>
    </w:p>
    <w:p>
      <w:pPr>
        <w:pStyle w:val="Heading2"/>
      </w:pPr>
      <w:r>
        <w:rPr>
          <w:rFonts w:ascii="Arial Unicode MS" w:hAnsi="Arial Unicode MS" w:eastAsia="Arial Unicode MS" w:cs="Arial Unicode MS"/>
          <w:b w:val="0"/>
          <w:i w:val="0"/>
        </w:rPr>
        <w:t>第21条（請求管理）</w:t>
      </w:r>
    </w:p>
    <w:p>
      <w:pPr>
        <w:spacing w:before="0" w:after="120" w:line="264" w:lineRule="auto"/>
      </w:pPr>
      <w:r>
        <w:rPr>
          <w:rFonts w:ascii="Arial Unicode MS" w:hAnsi="Arial Unicode MS" w:eastAsia="Arial Unicode MS" w:cs="Arial Unicode MS"/>
          <w:b w:val="0"/>
          <w:i w:val="0"/>
        </w:rPr>
        <w:t>管理部は、請求書、契約情報、売上情報及び入金情報を確認し、売掛金その他債権を管理する。</w:t>
      </w:r>
    </w:p>
    <w:p>
      <w:pPr>
        <w:pStyle w:val="ListNumber"/>
        <w:spacing w:before="0" w:after="160" w:line="280" w:lineRule="auto"/>
        <w:ind w:left="720" w:hanging="360"/>
      </w:pPr>
      <w:r>
        <w:rPr>
          <w:rFonts w:ascii="Arial Unicode MS" w:hAnsi="Arial Unicode MS" w:eastAsia="Arial Unicode MS" w:cs="Arial Unicode MS"/>
          <w:b w:val="0"/>
          <w:i w:val="0"/>
        </w:rPr>
        <w:t>通常の支払条件は、契約書、請求書又はマネーフォワード上の請求条件に従う。標準的な請求サイトは、末締め翌20日支払いを目安とする。</w:t>
      </w:r>
    </w:p>
    <w:p>
      <w:pPr>
        <w:pStyle w:val="Heading2"/>
      </w:pPr>
      <w:r>
        <w:rPr>
          <w:rFonts w:ascii="Arial Unicode MS" w:hAnsi="Arial Unicode MS" w:eastAsia="Arial Unicode MS" w:cs="Arial Unicode MS"/>
          <w:b w:val="0"/>
          <w:i w:val="0"/>
        </w:rPr>
        <w:t>第22条（入金確認）</w:t>
      </w:r>
    </w:p>
    <w:p>
      <w:pPr>
        <w:spacing w:before="0" w:after="120" w:line="264" w:lineRule="auto"/>
      </w:pPr>
      <w:r>
        <w:rPr>
          <w:rFonts w:ascii="Arial Unicode MS" w:hAnsi="Arial Unicode MS" w:eastAsia="Arial Unicode MS" w:cs="Arial Unicode MS"/>
          <w:b w:val="0"/>
          <w:i w:val="0"/>
        </w:rPr>
        <w:t>管理部は、入金予定日、請求金額、入金金額及び入金日を確認する。</w:t>
      </w:r>
    </w:p>
    <w:p>
      <w:pPr>
        <w:pStyle w:val="ListNumber"/>
        <w:spacing w:before="0" w:after="160" w:line="280" w:lineRule="auto"/>
        <w:ind w:left="720" w:hanging="360"/>
      </w:pPr>
      <w:r>
        <w:rPr>
          <w:rFonts w:ascii="Arial Unicode MS" w:hAnsi="Arial Unicode MS" w:eastAsia="Arial Unicode MS" w:cs="Arial Unicode MS"/>
          <w:b w:val="0"/>
          <w:i w:val="0"/>
        </w:rPr>
        <w:t>入金確認の結果、差額、遅延又は不明入金がある場合は、担当部門と連携して原因を確認する。</w:t>
      </w:r>
    </w:p>
    <w:p>
      <w:pPr>
        <w:pStyle w:val="Heading2"/>
      </w:pPr>
      <w:r>
        <w:rPr>
          <w:rFonts w:ascii="Arial Unicode MS" w:hAnsi="Arial Unicode MS" w:eastAsia="Arial Unicode MS" w:cs="Arial Unicode MS"/>
          <w:b w:val="0"/>
          <w:i w:val="0"/>
        </w:rPr>
        <w:t>第23条（未入金対応）</w:t>
      </w:r>
    </w:p>
    <w:p>
      <w:pPr>
        <w:spacing w:before="0" w:after="120" w:line="264" w:lineRule="auto"/>
      </w:pPr>
      <w:r>
        <w:rPr>
          <w:rFonts w:ascii="Arial Unicode MS" w:hAnsi="Arial Unicode MS" w:eastAsia="Arial Unicode MS" w:cs="Arial Unicode MS"/>
          <w:b w:val="0"/>
          <w:i w:val="0"/>
        </w:rPr>
        <w:t>入金予定日を経過しても入金が確認できない場合、担当部門は管理部と連携し、支払期日経過後5営業日以内を目安に取引先へ一次確認又は督促を行う。</w:t>
      </w:r>
    </w:p>
    <w:p>
      <w:pPr>
        <w:pStyle w:val="ListNumber"/>
        <w:spacing w:before="0" w:after="160" w:line="280" w:lineRule="auto"/>
        <w:ind w:left="720" w:hanging="360"/>
      </w:pPr>
      <w:r>
        <w:rPr>
          <w:rFonts w:ascii="Arial Unicode MS" w:hAnsi="Arial Unicode MS" w:eastAsia="Arial Unicode MS" w:cs="Arial Unicode MS"/>
          <w:b w:val="0"/>
          <w:i w:val="0"/>
        </w:rPr>
        <w:t>未入金が継続する場合、管理部は、督促、サービス提供停止、追加取引停止、契約解除、法的対応その他必要な対応を検討する。</w:t>
      </w:r>
    </w:p>
    <w:p>
      <w:pPr>
        <w:pStyle w:val="ListNumber"/>
        <w:spacing w:before="0" w:after="160" w:line="280" w:lineRule="auto"/>
        <w:ind w:left="720" w:hanging="360"/>
      </w:pPr>
      <w:r>
        <w:rPr>
          <w:rFonts w:ascii="Arial Unicode MS" w:hAnsi="Arial Unicode MS" w:eastAsia="Arial Unicode MS" w:cs="Arial Unicode MS"/>
          <w:b w:val="0"/>
          <w:i w:val="0"/>
        </w:rPr>
        <w:t>支払期日から30日を超えて未入金が継続する場合又は回収懸念がある場合、管理部は、担当部門及び代表取締役社長と協議し、サービス提供停止、追加取引停止、契約条件変更その他必要な措置を検討する。</w:t>
      </w:r>
    </w:p>
    <w:p>
      <w:pPr>
        <w:pStyle w:val="ListNumber"/>
        <w:spacing w:before="0" w:after="160" w:line="280" w:lineRule="auto"/>
        <w:ind w:left="720" w:hanging="360"/>
      </w:pPr>
      <w:r>
        <w:rPr>
          <w:rFonts w:ascii="Arial Unicode MS" w:hAnsi="Arial Unicode MS" w:eastAsia="Arial Unicode MS" w:cs="Arial Unicode MS"/>
          <w:b w:val="0"/>
          <w:i w:val="0"/>
        </w:rPr>
        <w:t>重要な未入金、長期滞留債権又は回収懸念がある場合は、経営会議に報告する。</w:t>
      </w:r>
    </w:p>
    <w:p>
      <w:pPr>
        <w:pStyle w:val="Heading2"/>
      </w:pPr>
      <w:r>
        <w:rPr>
          <w:rFonts w:ascii="Arial Unicode MS" w:hAnsi="Arial Unicode MS" w:eastAsia="Arial Unicode MS" w:cs="Arial Unicode MS"/>
          <w:b w:val="0"/>
          <w:i w:val="0"/>
        </w:rPr>
        <w:t>第24条（貸倒れ又は回収不能のおそれ）</w:t>
      </w:r>
    </w:p>
    <w:p>
      <w:pPr>
        <w:spacing w:before="0" w:after="120" w:line="264" w:lineRule="auto"/>
      </w:pPr>
      <w:r>
        <w:rPr>
          <w:rFonts w:ascii="Arial Unicode MS" w:hAnsi="Arial Unicode MS" w:eastAsia="Arial Unicode MS" w:cs="Arial Unicode MS"/>
          <w:b w:val="0"/>
          <w:i w:val="0"/>
        </w:rPr>
        <w:t>取引先の破産、民事再生、支払停止、長期滞留、連絡不能その他回収不能のおそれが生じた場合、担当部門は直ちに管理部へ報告する。</w:t>
      </w:r>
    </w:p>
    <w:p>
      <w:pPr>
        <w:pStyle w:val="ListNumber"/>
        <w:spacing w:before="0" w:after="160" w:line="280" w:lineRule="auto"/>
        <w:ind w:left="720" w:hanging="360"/>
      </w:pPr>
      <w:r>
        <w:rPr>
          <w:rFonts w:ascii="Arial Unicode MS" w:hAnsi="Arial Unicode MS" w:eastAsia="Arial Unicode MS" w:cs="Arial Unicode MS"/>
          <w:b w:val="0"/>
          <w:i w:val="0"/>
        </w:rPr>
        <w:t>管理部は、必要に応じて代表取締役社長、経営会議、取締役会、税理士、弁護士その他外部専門家と協議し、債権保全、会計処理及び法的対応を検討する。</w:t>
      </w:r>
    </w:p>
    <w:p>
      <w:pPr>
        <w:pStyle w:val="Heading1"/>
      </w:pPr>
      <w:r>
        <w:rPr>
          <w:rFonts w:ascii="Arial Unicode MS" w:hAnsi="Arial Unicode MS" w:eastAsia="Arial Unicode MS" w:cs="Arial Unicode MS"/>
          <w:b w:val="0"/>
          <w:i w:val="0"/>
        </w:rPr>
        <w:t>第5章　報告及び保管</w:t>
      </w:r>
    </w:p>
    <w:p>
      <w:pPr>
        <w:pStyle w:val="Heading2"/>
      </w:pPr>
      <w:r>
        <w:rPr>
          <w:rFonts w:ascii="Arial Unicode MS" w:hAnsi="Arial Unicode MS" w:eastAsia="Arial Unicode MS" w:cs="Arial Unicode MS"/>
          <w:b w:val="0"/>
          <w:i w:val="0"/>
        </w:rPr>
        <w:t>第25条（報告）</w:t>
      </w:r>
    </w:p>
    <w:p>
      <w:pPr>
        <w:spacing w:before="0" w:after="120" w:line="264" w:lineRule="auto"/>
      </w:pPr>
      <w:r>
        <w:rPr>
          <w:rFonts w:ascii="Arial Unicode MS" w:hAnsi="Arial Unicode MS" w:eastAsia="Arial Unicode MS" w:cs="Arial Unicode MS"/>
          <w:b w:val="0"/>
          <w:i w:val="0"/>
        </w:rPr>
        <w:t>管理部は、重要な未入金、支払遅延、回収懸念、与信限度超過、与信条件の変更その他重要事項を経営会議に報告する。</w:t>
      </w:r>
    </w:p>
    <w:p>
      <w:pPr>
        <w:pStyle w:val="ListNumber"/>
        <w:spacing w:before="0" w:after="160" w:line="280" w:lineRule="auto"/>
        <w:ind w:left="720" w:hanging="360"/>
      </w:pPr>
      <w:r>
        <w:rPr>
          <w:rFonts w:ascii="Arial Unicode MS" w:hAnsi="Arial Unicode MS" w:eastAsia="Arial Unicode MS" w:cs="Arial Unicode MS"/>
          <w:b w:val="0"/>
          <w:i w:val="0"/>
        </w:rPr>
        <w:t>重要な貸倒れリスク、取引停止、法的対応又は業績に重要な影響を与える事項については、取締役会へ報告又は付議する。</w:t>
      </w:r>
    </w:p>
    <w:p>
      <w:pPr>
        <w:pStyle w:val="Heading2"/>
      </w:pPr>
      <w:r>
        <w:rPr>
          <w:rFonts w:ascii="Arial Unicode MS" w:hAnsi="Arial Unicode MS" w:eastAsia="Arial Unicode MS" w:cs="Arial Unicode MS"/>
          <w:b w:val="0"/>
          <w:i w:val="0"/>
        </w:rPr>
        <w:t>第26条（保管）</w:t>
      </w:r>
    </w:p>
    <w:p>
      <w:pPr>
        <w:spacing w:before="0" w:after="120" w:line="264" w:lineRule="auto"/>
      </w:pPr>
      <w:r>
        <w:rPr>
          <w:rFonts w:ascii="Arial Unicode MS" w:hAnsi="Arial Unicode MS" w:eastAsia="Arial Unicode MS" w:cs="Arial Unicode MS"/>
          <w:b w:val="0"/>
          <w:i w:val="0"/>
        </w:rPr>
        <w:t>与信確認資料、取引先情報、契約書、請求書、入金記録、未入金対応記録、督促記録、与信限度登録資料その他与信管理に関する資料は、管理部又は担当部門が保存管理する。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与信管理に関する資料の保存期間は、原則として10年とする。ただし、法令又は文書管理規程によりこれより長い保存期間が定められる場合は、当該期間による。</w:t>
      </w:r>
    </w:p>
    <w:p>
      <w:pPr>
        <w:pStyle w:val="Heading1"/>
      </w:pPr>
      <w:r>
        <w:rPr>
          <w:rFonts w:ascii="Arial Unicode MS" w:hAnsi="Arial Unicode MS" w:eastAsia="Arial Unicode MS" w:cs="Arial Unicode MS"/>
          <w:b w:val="0"/>
          <w:i w:val="0"/>
        </w:rPr>
        <w:t>第6章　改廃</w:t>
      </w:r>
    </w:p>
    <w:p>
      <w:pPr>
        <w:pStyle w:val="Heading2"/>
      </w:pPr>
      <w:r>
        <w:rPr>
          <w:rFonts w:ascii="Arial Unicode MS" w:hAnsi="Arial Unicode MS" w:eastAsia="Arial Unicode MS" w:cs="Arial Unicode MS"/>
          <w:b w:val="0"/>
          <w:i w:val="0"/>
        </w:rPr>
        <w:t>第27条（改廃）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Notionに追加する与信管理項目</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売掛金及び未入金管理は管理部が担当する。</w:t>
      </w:r>
    </w:p>
    <w:p>
      <w:pPr>
        <w:pStyle w:val="Heading1"/>
      </w:pPr>
      <w:r>
        <w:rPr>
          <w:rFonts w:ascii="Arial Unicode MS" w:hAnsi="Arial Unicode MS" w:eastAsia="Arial Unicode MS" w:cs="Arial Unicode MS"/>
          <w:b w:val="0"/>
          <w:i w:val="0"/>
        </w:rPr>
        <w:t>Notion管理項目案</w:t>
      </w:r>
    </w:p>
    <w:p>
      <w:pPr>
        <w:pStyle w:val="ListBullet"/>
        <w:spacing w:before="0" w:after="160" w:line="280" w:lineRule="auto"/>
        <w:ind w:left="720" w:hanging="360"/>
      </w:pPr>
      <w:r>
        <w:rPr>
          <w:rFonts w:ascii="Arial Unicode MS" w:hAnsi="Arial Unicode MS" w:eastAsia="Arial Unicode MS" w:cs="Arial Unicode MS"/>
          <w:b w:val="0"/>
          <w:i w:val="0"/>
        </w:rPr>
        <w:t>取引先名</w:t>
      </w:r>
    </w:p>
    <w:p>
      <w:pPr>
        <w:pStyle w:val="ListBullet"/>
        <w:spacing w:before="0" w:after="160" w:line="280" w:lineRule="auto"/>
        <w:ind w:left="720" w:hanging="360"/>
      </w:pPr>
      <w:r>
        <w:rPr>
          <w:rFonts w:ascii="Arial Unicode MS" w:hAnsi="Arial Unicode MS" w:eastAsia="Arial Unicode MS" w:cs="Arial Unicode MS"/>
          <w:b w:val="0"/>
          <w:i w:val="0"/>
        </w:rPr>
        <w:t>取引区分</w:t>
      </w:r>
    </w:p>
    <w:p>
      <w:pPr>
        <w:pStyle w:val="ListBullet"/>
        <w:spacing w:before="0" w:after="160" w:line="280" w:lineRule="auto"/>
        <w:ind w:left="720" w:hanging="360"/>
      </w:pPr>
      <w:r>
        <w:rPr>
          <w:rFonts w:ascii="Arial Unicode MS" w:hAnsi="Arial Unicode MS" w:eastAsia="Arial Unicode MS" w:cs="Arial Unicode MS"/>
          <w:b w:val="0"/>
          <w:i w:val="0"/>
        </w:rPr>
        <w:t>担当部門</w:t>
      </w:r>
    </w:p>
    <w:p>
      <w:pPr>
        <w:pStyle w:val="ListBullet"/>
        <w:spacing w:before="0" w:after="160" w:line="280" w:lineRule="auto"/>
        <w:ind w:left="720" w:hanging="360"/>
      </w:pPr>
      <w:r>
        <w:rPr>
          <w:rFonts w:ascii="Arial Unicode MS" w:hAnsi="Arial Unicode MS" w:eastAsia="Arial Unicode MS" w:cs="Arial Unicode MS"/>
          <w:b w:val="0"/>
          <w:i w:val="0"/>
        </w:rPr>
        <w:t>担当者</w:t>
      </w:r>
    </w:p>
    <w:p>
      <w:pPr>
        <w:pStyle w:val="ListBullet"/>
        <w:spacing w:before="0" w:after="160" w:line="280" w:lineRule="auto"/>
        <w:ind w:left="720" w:hanging="360"/>
      </w:pPr>
      <w:r>
        <w:rPr>
          <w:rFonts w:ascii="Arial Unicode MS" w:hAnsi="Arial Unicode MS" w:eastAsia="Arial Unicode MS" w:cs="Arial Unicode MS"/>
          <w:b w:val="0"/>
          <w:i w:val="0"/>
        </w:rPr>
        <w:t>契約状況</w:t>
      </w:r>
    </w:p>
    <w:p>
      <w:pPr>
        <w:pStyle w:val="ListBullet"/>
        <w:spacing w:before="0" w:after="160" w:line="280" w:lineRule="auto"/>
        <w:ind w:left="720" w:hanging="360"/>
      </w:pPr>
      <w:r>
        <w:rPr>
          <w:rFonts w:ascii="Arial Unicode MS" w:hAnsi="Arial Unicode MS" w:eastAsia="Arial Unicode MS" w:cs="Arial Unicode MS"/>
          <w:b w:val="0"/>
          <w:i w:val="0"/>
        </w:rPr>
        <w:t>支払条件</w:t>
      </w:r>
    </w:p>
    <w:p>
      <w:pPr>
        <w:pStyle w:val="ListBullet"/>
        <w:spacing w:before="0" w:after="160" w:line="280" w:lineRule="auto"/>
        <w:ind w:left="720" w:hanging="360"/>
      </w:pPr>
      <w:r>
        <w:rPr>
          <w:rFonts w:ascii="Arial Unicode MS" w:hAnsi="Arial Unicode MS" w:eastAsia="Arial Unicode MS" w:cs="Arial Unicode MS"/>
          <w:b w:val="0"/>
          <w:i w:val="0"/>
        </w:rPr>
        <w:t>与信確認日</w:t>
      </w:r>
    </w:p>
    <w:p>
      <w:pPr>
        <w:pStyle w:val="ListBullet"/>
        <w:spacing w:before="0" w:after="160" w:line="280" w:lineRule="auto"/>
        <w:ind w:left="720" w:hanging="360"/>
      </w:pPr>
      <w:r>
        <w:rPr>
          <w:rFonts w:ascii="Arial Unicode MS" w:hAnsi="Arial Unicode MS" w:eastAsia="Arial Unicode MS" w:cs="Arial Unicode MS"/>
          <w:b w:val="0"/>
          <w:i w:val="0"/>
        </w:rPr>
        <w:t>与信確認者</w:t>
      </w:r>
    </w:p>
    <w:p>
      <w:pPr>
        <w:pStyle w:val="ListBullet"/>
        <w:spacing w:before="0" w:after="160" w:line="280" w:lineRule="auto"/>
        <w:ind w:left="720" w:hanging="360"/>
      </w:pPr>
      <w:r>
        <w:rPr>
          <w:rFonts w:ascii="Arial Unicode MS" w:hAnsi="Arial Unicode MS" w:eastAsia="Arial Unicode MS" w:cs="Arial Unicode MS"/>
          <w:b w:val="0"/>
          <w:i w:val="0"/>
        </w:rPr>
        <w:t>与信判断</w:t>
      </w:r>
    </w:p>
    <w:p>
      <w:pPr>
        <w:pStyle w:val="ListBullet"/>
        <w:spacing w:before="0" w:after="160" w:line="280" w:lineRule="auto"/>
        <w:ind w:left="720" w:hanging="360"/>
      </w:pPr>
      <w:r>
        <w:rPr>
          <w:rFonts w:ascii="Arial Unicode MS" w:hAnsi="Arial Unicode MS" w:eastAsia="Arial Unicode MS" w:cs="Arial Unicode MS"/>
          <w:b w:val="0"/>
          <w:i w:val="0"/>
        </w:rPr>
        <w:t>与信限度額</w:t>
      </w:r>
    </w:p>
    <w:p>
      <w:pPr>
        <w:pStyle w:val="ListBullet"/>
        <w:spacing w:before="0" w:after="160" w:line="280" w:lineRule="auto"/>
        <w:ind w:left="720" w:hanging="360"/>
      </w:pPr>
      <w:r>
        <w:rPr>
          <w:rFonts w:ascii="Arial Unicode MS" w:hAnsi="Arial Unicode MS" w:eastAsia="Arial Unicode MS" w:cs="Arial Unicode MS"/>
          <w:b w:val="0"/>
          <w:i w:val="0"/>
        </w:rPr>
        <w:t>入金状況</w:t>
      </w:r>
    </w:p>
    <w:p>
      <w:pPr>
        <w:pStyle w:val="ListBullet"/>
        <w:spacing w:before="0" w:after="160" w:line="280" w:lineRule="auto"/>
        <w:ind w:left="720" w:hanging="360"/>
      </w:pPr>
      <w:r>
        <w:rPr>
          <w:rFonts w:ascii="Arial Unicode MS" w:hAnsi="Arial Unicode MS" w:eastAsia="Arial Unicode MS" w:cs="Arial Unicode MS"/>
          <w:b w:val="0"/>
          <w:i w:val="0"/>
        </w:rPr>
        <w:t>未入金有無</w:t>
      </w:r>
    </w:p>
    <w:p>
      <w:pPr>
        <w:pStyle w:val="ListBullet"/>
        <w:spacing w:before="0" w:after="160" w:line="280" w:lineRule="auto"/>
        <w:ind w:left="720" w:hanging="360"/>
      </w:pPr>
      <w:r>
        <w:rPr>
          <w:rFonts w:ascii="Arial Unicode MS" w:hAnsi="Arial Unicode MS" w:eastAsia="Arial Unicode MS" w:cs="Arial Unicode MS"/>
          <w:b w:val="0"/>
          <w:i w:val="0"/>
        </w:rPr>
        <w:t>反社チェック状況</w:t>
      </w:r>
    </w:p>
    <w:p>
      <w:pPr>
        <w:pStyle w:val="ListBullet"/>
        <w:spacing w:before="0" w:after="160" w:line="280" w:lineRule="auto"/>
        <w:ind w:left="720" w:hanging="360"/>
      </w:pPr>
      <w:r>
        <w:rPr>
          <w:rFonts w:ascii="Arial Unicode MS" w:hAnsi="Arial Unicode MS" w:eastAsia="Arial Unicode MS" w:cs="Arial Unicode MS"/>
          <w:b w:val="0"/>
          <w:i w:val="0"/>
        </w:rPr>
        <w:t>次回確認日</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与信管理規程（ドラフト）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与信管理規程（ドラフト）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