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知的財産管理規程（ドラフト）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知的財産、営業秘密、ノウハウ、データ、ソースコード、AI関連成果物その他無形資産の取得、保護、利用、管理及び契約上の取扱いに関する基本事項を定め、会社の競争力及び事業価値を保護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本規程は、会社の役員、従業員、業務委託先、外注先その他会社の業務に従事する者が、会社の業務に関連して創作、開発、取得又は利用する知的財産等に適用する。</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ける知的財産等とは、特許権、実用新案権、意匠権、商標権、著作権、営業秘密、ノウハウ、データ、ソースコード、設計資料、教材、研修資料、プロンプト、AIモデル、AI出力物、SaaS、ローカルLLM、Webサイト、ブランド、ドメインその他事業上価値を有する無形資産をい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知的財産管理の主管部署は、管理部とする。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開発部、新規事業部、研修事業部その他知的財産等を創作又は利用する部門は、管理部と連携して知的財産等を管理する。</w:t>
      </w:r>
    </w:p>
    <w:p>
      <w:pPr>
        <w:pStyle w:val="Heading2"/>
      </w:pPr>
      <w:r>
        <w:rPr>
          <w:rFonts w:ascii="Arial Unicode MS" w:hAnsi="Arial Unicode MS" w:eastAsia="Arial Unicode MS" w:cs="Arial Unicode MS"/>
          <w:b w:val="0"/>
          <w:i w:val="0"/>
        </w:rPr>
        <w:t>第5条（責任者）</w:t>
      </w:r>
    </w:p>
    <w:p>
      <w:pPr>
        <w:spacing w:before="0" w:after="120" w:line="264" w:lineRule="auto"/>
      </w:pPr>
      <w:r>
        <w:rPr>
          <w:rFonts w:ascii="Arial Unicode MS" w:hAnsi="Arial Unicode MS" w:eastAsia="Arial Unicode MS" w:cs="Arial Unicode MS"/>
          <w:b w:val="0"/>
          <w:i w:val="0"/>
        </w:rPr>
        <w:t>知的財産管理責任者は、代表取締役社長又は代表取締役社長が指名する者とする。</w:t>
      </w:r>
    </w:p>
    <w:p>
      <w:pPr>
        <w:pStyle w:val="Heading2"/>
      </w:pPr>
      <w:r>
        <w:rPr>
          <w:rFonts w:ascii="Arial Unicode MS" w:hAnsi="Arial Unicode MS" w:eastAsia="Arial Unicode MS" w:cs="Arial Unicode MS"/>
          <w:b w:val="0"/>
          <w:i w:val="0"/>
        </w:rPr>
        <w:t>第6条（管理台帳）</w:t>
      </w:r>
    </w:p>
    <w:p>
      <w:pPr>
        <w:spacing w:before="0" w:after="120" w:line="264" w:lineRule="auto"/>
      </w:pPr>
      <w:r>
        <w:rPr>
          <w:rFonts w:ascii="Arial Unicode MS" w:hAnsi="Arial Unicode MS" w:eastAsia="Arial Unicode MS" w:cs="Arial Unicode MS"/>
          <w:b w:val="0"/>
          <w:i w:val="0"/>
        </w:rPr>
        <w:t>管理部は、必要に応じて知的財産管理台帳を作成し、知的財産等の名称、区分、作成者、権利者、利用範囲、契約条件、登録状況、保存場所、更新日を管理する。</w:t>
      </w:r>
    </w:p>
    <w:p>
      <w:pPr>
        <w:pStyle w:val="Heading1"/>
      </w:pPr>
      <w:r>
        <w:rPr>
          <w:rFonts w:ascii="Arial Unicode MS" w:hAnsi="Arial Unicode MS" w:eastAsia="Arial Unicode MS" w:cs="Arial Unicode MS"/>
          <w:b w:val="0"/>
          <w:i w:val="0"/>
        </w:rPr>
        <w:t>第3章 権利帰属</w:t>
      </w:r>
    </w:p>
    <w:p>
      <w:pPr>
        <w:pStyle w:val="Heading2"/>
      </w:pPr>
      <w:r>
        <w:rPr>
          <w:rFonts w:ascii="Arial Unicode MS" w:hAnsi="Arial Unicode MS" w:eastAsia="Arial Unicode MS" w:cs="Arial Unicode MS"/>
          <w:b w:val="0"/>
          <w:i w:val="0"/>
        </w:rPr>
        <w:t>第7条（職務上の成果）</w:t>
      </w:r>
    </w:p>
    <w:p>
      <w:pPr>
        <w:spacing w:before="0" w:after="120" w:line="264" w:lineRule="auto"/>
      </w:pPr>
      <w:r>
        <w:rPr>
          <w:rFonts w:ascii="Arial Unicode MS" w:hAnsi="Arial Unicode MS" w:eastAsia="Arial Unicode MS" w:cs="Arial Unicode MS"/>
          <w:b w:val="0"/>
          <w:i w:val="0"/>
        </w:rPr>
        <w:t>役員及び従業員が会社の業務に関連して創作、開発又は取得した知的財産等は、法令、契約又は別段の定めがある場合を除き、会社に帰属する。</w:t>
      </w:r>
    </w:p>
    <w:p>
      <w:pPr>
        <w:pStyle w:val="Heading2"/>
      </w:pPr>
      <w:r>
        <w:rPr>
          <w:rFonts w:ascii="Arial Unicode MS" w:hAnsi="Arial Unicode MS" w:eastAsia="Arial Unicode MS" w:cs="Arial Unicode MS"/>
          <w:b w:val="0"/>
          <w:i w:val="0"/>
        </w:rPr>
        <w:t>第8条（業務委託先・外注先の成果）</w:t>
      </w:r>
    </w:p>
    <w:p>
      <w:pPr>
        <w:spacing w:before="0" w:after="120" w:line="264" w:lineRule="auto"/>
      </w:pPr>
      <w:r>
        <w:rPr>
          <w:rFonts w:ascii="Arial Unicode MS" w:hAnsi="Arial Unicode MS" w:eastAsia="Arial Unicode MS" w:cs="Arial Unicode MS"/>
          <w:b w:val="0"/>
          <w:i w:val="0"/>
        </w:rPr>
        <w:t>業務委託先又は外注先に開発、制作、執筆、設計、運用その他業務を委託する場合、成果物、既存技術、派生成果物、ノウハウ、著作権、特許を受ける権利、利用権、改変権及び第三者権利侵害時の責任分担を契約で明確にする。</w:t>
      </w:r>
    </w:p>
    <w:p>
      <w:pPr>
        <w:pStyle w:val="ListNumber"/>
        <w:spacing w:before="0" w:after="160" w:line="280" w:lineRule="auto"/>
        <w:ind w:left="720" w:hanging="360"/>
      </w:pPr>
      <w:r>
        <w:rPr>
          <w:rFonts w:ascii="Arial Unicode MS" w:hAnsi="Arial Unicode MS" w:eastAsia="Arial Unicode MS" w:cs="Arial Unicode MS"/>
          <w:b w:val="0"/>
          <w:i w:val="0"/>
        </w:rPr>
        <w:t>契約に定めがない場合、担当部門は、成果物の利用開始前に管理部へ相談する。</w:t>
      </w:r>
    </w:p>
    <w:p>
      <w:pPr>
        <w:pStyle w:val="Heading2"/>
      </w:pPr>
      <w:r>
        <w:rPr>
          <w:rFonts w:ascii="Arial Unicode MS" w:hAnsi="Arial Unicode MS" w:eastAsia="Arial Unicode MS" w:cs="Arial Unicode MS"/>
          <w:b w:val="0"/>
          <w:i w:val="0"/>
        </w:rPr>
        <w:t>第9条（顧客との成果物）</w:t>
      </w:r>
    </w:p>
    <w:p>
      <w:pPr>
        <w:spacing w:before="0" w:after="120" w:line="264" w:lineRule="auto"/>
      </w:pPr>
      <w:r>
        <w:rPr>
          <w:rFonts w:ascii="Arial Unicode MS" w:hAnsi="Arial Unicode MS" w:eastAsia="Arial Unicode MS" w:cs="Arial Unicode MS"/>
          <w:b w:val="0"/>
          <w:i w:val="0"/>
        </w:rPr>
        <w:t>AI受託開発、OEM、SaaS、AI伴走、研修その他顧客向け業務において成果物を提供する場合、顧客との契約において、成果物の権利帰属、利用範囲、再利用可否、既存技術の取扱い、秘密情報の取扱いを明確にする。</w:t>
      </w:r>
    </w:p>
    <w:p>
      <w:pPr>
        <w:pStyle w:val="Heading2"/>
      </w:pPr>
      <w:r>
        <w:rPr>
          <w:rFonts w:ascii="Arial Unicode MS" w:hAnsi="Arial Unicode MS" w:eastAsia="Arial Unicode MS" w:cs="Arial Unicode MS"/>
          <w:b w:val="0"/>
          <w:i w:val="0"/>
        </w:rPr>
        <w:t>第10条（既存技術）</w:t>
      </w:r>
    </w:p>
    <w:p>
      <w:pPr>
        <w:spacing w:before="0" w:after="120" w:line="264" w:lineRule="auto"/>
      </w:pPr>
      <w:r>
        <w:rPr>
          <w:rFonts w:ascii="Arial Unicode MS" w:hAnsi="Arial Unicode MS" w:eastAsia="Arial Unicode MS" w:cs="Arial Unicode MS"/>
          <w:b w:val="0"/>
          <w:i w:val="0"/>
        </w:rPr>
        <w:t>会社が契約前から保有するソースコード、ノウハウ、AIモデル、テンプレート、教材、プロンプト、ライブラリ、開発手法その他既存技術は、原則として会社に留保する。</w:t>
      </w:r>
    </w:p>
    <w:p>
      <w:pPr>
        <w:pStyle w:val="ListNumber"/>
        <w:spacing w:before="0" w:after="160" w:line="280" w:lineRule="auto"/>
        <w:ind w:left="720" w:hanging="360"/>
      </w:pPr>
      <w:r>
        <w:rPr>
          <w:rFonts w:ascii="Arial Unicode MS" w:hAnsi="Arial Unicode MS" w:eastAsia="Arial Unicode MS" w:cs="Arial Unicode MS"/>
          <w:b w:val="0"/>
          <w:i w:val="0"/>
        </w:rPr>
        <w:t>顧客又は外注先に既存技術を使用させる場合、使用範囲、期間、目的、再利用可否を明確にする。</w:t>
      </w:r>
    </w:p>
    <w:p>
      <w:pPr>
        <w:pStyle w:val="Heading1"/>
      </w:pPr>
      <w:r>
        <w:rPr>
          <w:rFonts w:ascii="Arial Unicode MS" w:hAnsi="Arial Unicode MS" w:eastAsia="Arial Unicode MS" w:cs="Arial Unicode MS"/>
          <w:b w:val="0"/>
          <w:i w:val="0"/>
        </w:rPr>
        <w:t>第4章 営業秘密及び秘密情報</w:t>
      </w:r>
    </w:p>
    <w:p>
      <w:pPr>
        <w:pStyle w:val="Heading2"/>
      </w:pPr>
      <w:r>
        <w:rPr>
          <w:rFonts w:ascii="Arial Unicode MS" w:hAnsi="Arial Unicode MS" w:eastAsia="Arial Unicode MS" w:cs="Arial Unicode MS"/>
          <w:b w:val="0"/>
          <w:i w:val="0"/>
        </w:rPr>
        <w:t>第11条（営業秘密）</w:t>
      </w:r>
    </w:p>
    <w:p>
      <w:pPr>
        <w:spacing w:before="0" w:after="120" w:line="264" w:lineRule="auto"/>
      </w:pPr>
      <w:r>
        <w:rPr>
          <w:rFonts w:ascii="Arial Unicode MS" w:hAnsi="Arial Unicode MS" w:eastAsia="Arial Unicode MS" w:cs="Arial Unicode MS"/>
          <w:b w:val="0"/>
          <w:i w:val="0"/>
        </w:rPr>
        <w:t>会社は、秘密として管理され、有用であり、公然と知られていない情報を営業秘密として管理する。</w:t>
      </w:r>
    </w:p>
    <w:p>
      <w:pPr>
        <w:pStyle w:val="Heading2"/>
      </w:pPr>
      <w:r>
        <w:rPr>
          <w:rFonts w:ascii="Arial Unicode MS" w:hAnsi="Arial Unicode MS" w:eastAsia="Arial Unicode MS" w:cs="Arial Unicode MS"/>
          <w:b w:val="0"/>
          <w:i w:val="0"/>
        </w:rPr>
        <w:t>第12条（秘密管理）</w:t>
      </w:r>
    </w:p>
    <w:p>
      <w:pPr>
        <w:spacing w:before="0" w:after="120" w:line="264" w:lineRule="auto"/>
      </w:pPr>
      <w:r>
        <w:rPr>
          <w:rFonts w:ascii="Arial Unicode MS" w:hAnsi="Arial Unicode MS" w:eastAsia="Arial Unicode MS" w:cs="Arial Unicode MS"/>
          <w:b w:val="0"/>
          <w:i w:val="0"/>
        </w:rPr>
        <w:t>営業秘密及び秘密情報は、アクセス権限の限定、保存場所の管理、秘密表示、パスワード管理、持出し制限、外部共有制限その他適切な方法により管理する。</w:t>
      </w:r>
    </w:p>
    <w:p>
      <w:pPr>
        <w:pStyle w:val="Heading2"/>
      </w:pPr>
      <w:r>
        <w:rPr>
          <w:rFonts w:ascii="Arial Unicode MS" w:hAnsi="Arial Unicode MS" w:eastAsia="Arial Unicode MS" w:cs="Arial Unicode MS"/>
          <w:b w:val="0"/>
          <w:i w:val="0"/>
        </w:rPr>
        <w:t>第13条（秘密保持契約）</w:t>
      </w:r>
    </w:p>
    <w:p>
      <w:pPr>
        <w:spacing w:before="0" w:after="120" w:line="264" w:lineRule="auto"/>
      </w:pPr>
      <w:r>
        <w:rPr>
          <w:rFonts w:ascii="Arial Unicode MS" w:hAnsi="Arial Unicode MS" w:eastAsia="Arial Unicode MS" w:cs="Arial Unicode MS"/>
          <w:b w:val="0"/>
          <w:i w:val="0"/>
        </w:rPr>
        <w:t>顧客、外注先、業務委託先、共同開発先その他第三者と秘密情報を授受する場合、必要に応じて秘密保持契約又は契約上の秘密保持条項を締結する。</w:t>
      </w:r>
    </w:p>
    <w:p>
      <w:pPr>
        <w:pStyle w:val="Heading1"/>
      </w:pPr>
      <w:r>
        <w:rPr>
          <w:rFonts w:ascii="Arial Unicode MS" w:hAnsi="Arial Unicode MS" w:eastAsia="Arial Unicode MS" w:cs="Arial Unicode MS"/>
          <w:b w:val="0"/>
          <w:i w:val="0"/>
        </w:rPr>
        <w:t>第5章 出願・登録・利用</w:t>
      </w:r>
    </w:p>
    <w:p>
      <w:pPr>
        <w:pStyle w:val="Heading2"/>
      </w:pPr>
      <w:r>
        <w:rPr>
          <w:rFonts w:ascii="Arial Unicode MS" w:hAnsi="Arial Unicode MS" w:eastAsia="Arial Unicode MS" w:cs="Arial Unicode MS"/>
          <w:b w:val="0"/>
          <w:i w:val="0"/>
        </w:rPr>
        <w:t>第14条（出願及び登録）</w:t>
      </w:r>
    </w:p>
    <w:p>
      <w:pPr>
        <w:spacing w:before="0" w:after="120" w:line="264" w:lineRule="auto"/>
      </w:pPr>
      <w:r>
        <w:rPr>
          <w:rFonts w:ascii="Arial Unicode MS" w:hAnsi="Arial Unicode MS" w:eastAsia="Arial Unicode MS" w:cs="Arial Unicode MS"/>
          <w:b w:val="0"/>
          <w:i w:val="0"/>
        </w:rPr>
        <w:t>特許、商標、意匠その他知的財産権の出願又は登録を行う場合、担当部門は、事業上の必要性、費用、権利化可能性、第三者権利との関係を整理し、管理部へ相談する。</w:t>
      </w:r>
    </w:p>
    <w:p>
      <w:pPr>
        <w:pStyle w:val="Heading2"/>
      </w:pPr>
      <w:r>
        <w:rPr>
          <w:rFonts w:ascii="Arial Unicode MS" w:hAnsi="Arial Unicode MS" w:eastAsia="Arial Unicode MS" w:cs="Arial Unicode MS"/>
          <w:b w:val="0"/>
          <w:i w:val="0"/>
        </w:rPr>
        <w:t>第15条（商標及びブランド）</w:t>
      </w:r>
    </w:p>
    <w:p>
      <w:pPr>
        <w:spacing w:before="0" w:after="120" w:line="264" w:lineRule="auto"/>
      </w:pPr>
      <w:r>
        <w:rPr>
          <w:rFonts w:ascii="Arial Unicode MS" w:hAnsi="Arial Unicode MS" w:eastAsia="Arial Unicode MS" w:cs="Arial Unicode MS"/>
          <w:b w:val="0"/>
          <w:i w:val="0"/>
        </w:rPr>
        <w:t>会社名、サービス名、ロゴ、プロダクト名、ドメインその他ブランドに関する表示を新たに使用する場合、担当部門は、第三者権利との抵触可能性及び商標登録の要否を確認する。</w:t>
      </w:r>
    </w:p>
    <w:p>
      <w:pPr>
        <w:pStyle w:val="Heading2"/>
      </w:pPr>
      <w:r>
        <w:rPr>
          <w:rFonts w:ascii="Arial Unicode MS" w:hAnsi="Arial Unicode MS" w:eastAsia="Arial Unicode MS" w:cs="Arial Unicode MS"/>
          <w:b w:val="0"/>
          <w:i w:val="0"/>
        </w:rPr>
        <w:t>第16条（第三者知的財産の利用）</w:t>
      </w:r>
    </w:p>
    <w:p>
      <w:pPr>
        <w:spacing w:before="0" w:after="120" w:line="264" w:lineRule="auto"/>
      </w:pPr>
      <w:r>
        <w:rPr>
          <w:rFonts w:ascii="Arial Unicode MS" w:hAnsi="Arial Unicode MS" w:eastAsia="Arial Unicode MS" w:cs="Arial Unicode MS"/>
          <w:b w:val="0"/>
          <w:i w:val="0"/>
        </w:rPr>
        <w:t>第三者の著作物、ソフトウェア、OSS、API、データ、画像、商標、資料その他知的財産等を利用する場合、担当部門は、利用条件、ライセンス、禁止事項、表示義務、商用利用可否を確認する。</w:t>
      </w:r>
    </w:p>
    <w:p>
      <w:pPr>
        <w:pStyle w:val="Heading2"/>
      </w:pPr>
      <w:r>
        <w:rPr>
          <w:rFonts w:ascii="Arial Unicode MS" w:hAnsi="Arial Unicode MS" w:eastAsia="Arial Unicode MS" w:cs="Arial Unicode MS"/>
          <w:b w:val="0"/>
          <w:i w:val="0"/>
        </w:rPr>
        <w:t>第17条（OSS）</w:t>
      </w:r>
    </w:p>
    <w:p>
      <w:pPr>
        <w:spacing w:before="0" w:after="120" w:line="264" w:lineRule="auto"/>
      </w:pPr>
      <w:r>
        <w:rPr>
          <w:rFonts w:ascii="Arial Unicode MS" w:hAnsi="Arial Unicode MS" w:eastAsia="Arial Unicode MS" w:cs="Arial Unicode MS"/>
          <w:b w:val="0"/>
          <w:i w:val="0"/>
        </w:rPr>
        <w:t>OSSを利用する場合、開発部は、ライセンス、改変、再配布、表示義務、ソースコード開示義務その他利用条件を確認する。</w:t>
      </w:r>
    </w:p>
    <w:p>
      <w:pPr>
        <w:pStyle w:val="Heading1"/>
      </w:pPr>
      <w:r>
        <w:rPr>
          <w:rFonts w:ascii="Arial Unicode MS" w:hAnsi="Arial Unicode MS" w:eastAsia="Arial Unicode MS" w:cs="Arial Unicode MS"/>
          <w:b w:val="0"/>
          <w:i w:val="0"/>
        </w:rPr>
        <w:t>第6章 AI関連成果物</w:t>
      </w:r>
    </w:p>
    <w:p>
      <w:pPr>
        <w:pStyle w:val="Heading2"/>
      </w:pPr>
      <w:r>
        <w:rPr>
          <w:rFonts w:ascii="Arial Unicode MS" w:hAnsi="Arial Unicode MS" w:eastAsia="Arial Unicode MS" w:cs="Arial Unicode MS"/>
          <w:b w:val="0"/>
          <w:i w:val="0"/>
        </w:rPr>
        <w:t>第18条（AI入力情報）</w:t>
      </w:r>
    </w:p>
    <w:p>
      <w:pPr>
        <w:spacing w:before="0" w:after="120" w:line="264" w:lineRule="auto"/>
      </w:pPr>
      <w:r>
        <w:rPr>
          <w:rFonts w:ascii="Arial Unicode MS" w:hAnsi="Arial Unicode MS" w:eastAsia="Arial Unicode MS" w:cs="Arial Unicode MS"/>
          <w:b w:val="0"/>
          <w:i w:val="0"/>
        </w:rPr>
        <w:t>AIサービスに入力する情報については、情報セキュリティ規程及び個人情報保護基本規程に従い、顧客情報、個人情報、秘密情報、ソースコード、契約情報の入力可否を確認する。</w:t>
      </w:r>
    </w:p>
    <w:p>
      <w:pPr>
        <w:pStyle w:val="Heading2"/>
      </w:pPr>
      <w:r>
        <w:rPr>
          <w:rFonts w:ascii="Arial Unicode MS" w:hAnsi="Arial Unicode MS" w:eastAsia="Arial Unicode MS" w:cs="Arial Unicode MS"/>
          <w:b w:val="0"/>
          <w:i w:val="0"/>
        </w:rPr>
        <w:t>第19条（AI出力物）</w:t>
      </w:r>
    </w:p>
    <w:p>
      <w:pPr>
        <w:spacing w:before="0" w:after="120" w:line="264" w:lineRule="auto"/>
      </w:pPr>
      <w:r>
        <w:rPr>
          <w:rFonts w:ascii="Arial Unicode MS" w:hAnsi="Arial Unicode MS" w:eastAsia="Arial Unicode MS" w:cs="Arial Unicode MS"/>
          <w:b w:val="0"/>
          <w:i w:val="0"/>
        </w:rPr>
        <w:t>AI出力物を顧客提供資料、研修教材、SaaS、受託開発成果物、営業資料その他業務で利用する場合、担当部門は、利用目的、第三者権利侵害リスク、正確性、契約上の制限を確認する。</w:t>
      </w:r>
    </w:p>
    <w:p>
      <w:pPr>
        <w:pStyle w:val="Heading1"/>
      </w:pPr>
      <w:r>
        <w:rPr>
          <w:rFonts w:ascii="Arial Unicode MS" w:hAnsi="Arial Unicode MS" w:eastAsia="Arial Unicode MS" w:cs="Arial Unicode MS"/>
          <w:b w:val="0"/>
          <w:i w:val="0"/>
        </w:rPr>
        <w:t>第7章 契約管理</w:t>
      </w:r>
    </w:p>
    <w:p>
      <w:pPr>
        <w:pStyle w:val="Heading2"/>
      </w:pPr>
      <w:r>
        <w:rPr>
          <w:rFonts w:ascii="Arial Unicode MS" w:hAnsi="Arial Unicode MS" w:eastAsia="Arial Unicode MS" w:cs="Arial Unicode MS"/>
          <w:b w:val="0"/>
          <w:i w:val="0"/>
        </w:rPr>
        <w:t>第20条（契約確認）</w:t>
      </w:r>
    </w:p>
    <w:p>
      <w:pPr>
        <w:spacing w:before="0" w:after="120" w:line="264" w:lineRule="auto"/>
      </w:pPr>
      <w:r>
        <w:rPr>
          <w:rFonts w:ascii="Arial Unicode MS" w:hAnsi="Arial Unicode MS" w:eastAsia="Arial Unicode MS" w:cs="Arial Unicode MS"/>
          <w:b w:val="0"/>
          <w:i w:val="0"/>
        </w:rPr>
        <w:t>知的財産等を含む契約は、塚原による契約内容の確認を経たうえで、代表取締役社長が最終押印又は電子署名を行う。</w:t>
      </w:r>
    </w:p>
    <w:p>
      <w:pPr>
        <w:pStyle w:val="Heading2"/>
      </w:pPr>
      <w:r>
        <w:rPr>
          <w:rFonts w:ascii="Arial Unicode MS" w:hAnsi="Arial Unicode MS" w:eastAsia="Arial Unicode MS" w:cs="Arial Unicode MS"/>
          <w:b w:val="0"/>
          <w:i w:val="0"/>
        </w:rPr>
        <w:t>第21条（重要契約）</w:t>
      </w:r>
    </w:p>
    <w:p>
      <w:pPr>
        <w:spacing w:before="0" w:after="120" w:line="264" w:lineRule="auto"/>
      </w:pPr>
      <w:r>
        <w:rPr>
          <w:rFonts w:ascii="Arial Unicode MS" w:hAnsi="Arial Unicode MS" w:eastAsia="Arial Unicode MS" w:cs="Arial Unicode MS"/>
          <w:b w:val="0"/>
          <w:i w:val="0"/>
        </w:rPr>
        <w:t>共同開発、開発委託、OEM、SaaS提供、ライセンス、知的財産譲渡、独占利用、成果物の権利帰属を含む重要契約は、稟議規程に基づき事前承認を得る。</w:t>
      </w:r>
    </w:p>
    <w:p>
      <w:pPr>
        <w:pStyle w:val="Heading1"/>
      </w:pPr>
      <w:r>
        <w:rPr>
          <w:rFonts w:ascii="Arial Unicode MS" w:hAnsi="Arial Unicode MS" w:eastAsia="Arial Unicode MS" w:cs="Arial Unicode MS"/>
          <w:b w:val="0"/>
          <w:i w:val="0"/>
        </w:rPr>
        <w:t>第8章 侵害対応</w:t>
      </w:r>
    </w:p>
    <w:p>
      <w:pPr>
        <w:pStyle w:val="Heading2"/>
      </w:pPr>
      <w:r>
        <w:rPr>
          <w:rFonts w:ascii="Arial Unicode MS" w:hAnsi="Arial Unicode MS" w:eastAsia="Arial Unicode MS" w:cs="Arial Unicode MS"/>
          <w:b w:val="0"/>
          <w:i w:val="0"/>
        </w:rPr>
        <w:t>第22条（第三者権利侵害の防止）</w:t>
      </w:r>
    </w:p>
    <w:p>
      <w:pPr>
        <w:spacing w:before="0" w:after="120" w:line="264" w:lineRule="auto"/>
      </w:pPr>
      <w:r>
        <w:rPr>
          <w:rFonts w:ascii="Arial Unicode MS" w:hAnsi="Arial Unicode MS" w:eastAsia="Arial Unicode MS" w:cs="Arial Unicode MS"/>
          <w:b w:val="0"/>
          <w:i w:val="0"/>
        </w:rPr>
        <w:t>担当部門は、第三者の知的財産権を侵害しないよう、必要に応じて公開情報調査、契約確認、外部専門家への相談を行う。</w:t>
      </w:r>
    </w:p>
    <w:p>
      <w:pPr>
        <w:pStyle w:val="Heading2"/>
      </w:pPr>
      <w:r>
        <w:rPr>
          <w:rFonts w:ascii="Arial Unicode MS" w:hAnsi="Arial Unicode MS" w:eastAsia="Arial Unicode MS" w:cs="Arial Unicode MS"/>
          <w:b w:val="0"/>
          <w:i w:val="0"/>
        </w:rPr>
        <w:t>第23条（侵害又は疑義発生時）</w:t>
      </w:r>
    </w:p>
    <w:p>
      <w:pPr>
        <w:spacing w:before="0" w:after="120" w:line="264" w:lineRule="auto"/>
      </w:pPr>
      <w:r>
        <w:rPr>
          <w:rFonts w:ascii="Arial Unicode MS" w:hAnsi="Arial Unicode MS" w:eastAsia="Arial Unicode MS" w:cs="Arial Unicode MS"/>
          <w:b w:val="0"/>
          <w:i w:val="0"/>
        </w:rPr>
        <w:t>会社の知的財産等が第三者に侵害された場合又は会社が第三者の権利を侵害している疑いがある場合、担当部門は速やかに管理部へ報告する。</w:t>
      </w:r>
    </w:p>
    <w:p>
      <w:pPr>
        <w:pStyle w:val="ListNumber"/>
        <w:spacing w:before="0" w:after="160" w:line="280" w:lineRule="auto"/>
        <w:ind w:left="720" w:hanging="360"/>
      </w:pPr>
      <w:r>
        <w:rPr>
          <w:rFonts w:ascii="Arial Unicode MS" w:hAnsi="Arial Unicode MS" w:eastAsia="Arial Unicode MS" w:cs="Arial Unicode MS"/>
          <w:b w:val="0"/>
          <w:i w:val="0"/>
        </w:rPr>
        <w:t>管理部は、必要に応じて弁護士、弁理士その他外部専門家へ相談する。</w:t>
      </w:r>
    </w:p>
    <w:p>
      <w:pPr>
        <w:pStyle w:val="Heading1"/>
      </w:pPr>
      <w:r>
        <w:rPr>
          <w:rFonts w:ascii="Arial Unicode MS" w:hAnsi="Arial Unicode MS" w:eastAsia="Arial Unicode MS" w:cs="Arial Unicode MS"/>
          <w:b w:val="0"/>
          <w:i w:val="0"/>
        </w:rPr>
        <w:t>第9章 教育及び保存</w:t>
      </w:r>
    </w:p>
    <w:p>
      <w:pPr>
        <w:pStyle w:val="Heading2"/>
      </w:pPr>
      <w:r>
        <w:rPr>
          <w:rFonts w:ascii="Arial Unicode MS" w:hAnsi="Arial Unicode MS" w:eastAsia="Arial Unicode MS" w:cs="Arial Unicode MS"/>
          <w:b w:val="0"/>
          <w:i w:val="0"/>
        </w:rPr>
        <w:t>第24条（教育）</w:t>
      </w:r>
    </w:p>
    <w:p>
      <w:pPr>
        <w:spacing w:before="0" w:after="120" w:line="264" w:lineRule="auto"/>
      </w:pPr>
      <w:r>
        <w:rPr>
          <w:rFonts w:ascii="Arial Unicode MS" w:hAnsi="Arial Unicode MS" w:eastAsia="Arial Unicode MS" w:cs="Arial Unicode MS"/>
          <w:b w:val="0"/>
          <w:i w:val="0"/>
        </w:rPr>
        <w:t>管理部は、役員及び従業員に対して、知的財産、営業秘密、AI利用、OSS利用、契約上の権利帰属に関する教育又は周知を行う。</w:t>
      </w:r>
    </w:p>
    <w:p>
      <w:pPr>
        <w:pStyle w:val="Heading2"/>
      </w:pPr>
      <w:r>
        <w:rPr>
          <w:rFonts w:ascii="Arial Unicode MS" w:hAnsi="Arial Unicode MS" w:eastAsia="Arial Unicode MS" w:cs="Arial Unicode MS"/>
          <w:b w:val="0"/>
          <w:i w:val="0"/>
        </w:rPr>
        <w:t>第25条（保存）</w:t>
      </w:r>
    </w:p>
    <w:p>
      <w:pPr>
        <w:spacing w:before="0" w:after="120" w:line="264" w:lineRule="auto"/>
      </w:pPr>
      <w:r>
        <w:rPr>
          <w:rFonts w:ascii="Arial Unicode MS" w:hAnsi="Arial Unicode MS" w:eastAsia="Arial Unicode MS" w:cs="Arial Unicode MS"/>
          <w:b w:val="0"/>
          <w:i w:val="0"/>
        </w:rPr>
        <w:t>知的財産管理台帳、契約書、出願資料、登録証、秘密保持契約、ライセンス確認資料、調査資料その他知的財産管理に関する資料は、管理部又は担当部門が保存管理する。</w:t>
      </w:r>
    </w:p>
    <w:p>
      <w:pPr>
        <w:pStyle w:val="Heading1"/>
      </w:pPr>
      <w:r>
        <w:rPr>
          <w:rFonts w:ascii="Arial Unicode MS" w:hAnsi="Arial Unicode MS" w:eastAsia="Arial Unicode MS" w:cs="Arial Unicode MS"/>
          <w:b w:val="0"/>
          <w:i w:val="0"/>
        </w:rPr>
        <w:t>第10章 改廃</w:t>
      </w:r>
    </w:p>
    <w:p>
      <w:pPr>
        <w:pStyle w:val="Heading2"/>
      </w:pPr>
      <w:r>
        <w:rPr>
          <w:rFonts w:ascii="Arial Unicode MS" w:hAnsi="Arial Unicode MS" w:eastAsia="Arial Unicode MS" w:cs="Arial Unicode MS"/>
          <w:b w:val="0"/>
          <w:i w:val="0"/>
        </w:rPr>
        <w:t>第26条（改廃）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商標登録済み又は出願予定の名称</w:t>
      </w:r>
    </w:p>
    <w:p>
      <w:pPr>
        <w:pStyle w:val="ListBullet"/>
        <w:spacing w:before="0" w:after="160" w:line="280" w:lineRule="auto"/>
        <w:ind w:left="720" w:hanging="360"/>
      </w:pPr>
      <w:r>
        <w:rPr>
          <w:rFonts w:ascii="Arial Unicode MS" w:hAnsi="Arial Unicode MS" w:eastAsia="Arial Unicode MS" w:cs="Arial Unicode MS"/>
          <w:b w:val="0"/>
          <w:i w:val="0"/>
        </w:rPr>
        <w:t>ソースコード及びリポジトリの管理者</w:t>
      </w:r>
    </w:p>
    <w:p>
      <w:pPr>
        <w:pStyle w:val="ListBullet"/>
        <w:spacing w:before="0" w:after="160" w:line="280" w:lineRule="auto"/>
        <w:ind w:left="720" w:hanging="360"/>
      </w:pPr>
      <w:r>
        <w:rPr>
          <w:rFonts w:ascii="Arial Unicode MS" w:hAnsi="Arial Unicode MS" w:eastAsia="Arial Unicode MS" w:cs="Arial Unicode MS"/>
          <w:b w:val="0"/>
          <w:i w:val="0"/>
        </w:rPr>
        <w:t>OSS利用ルール</w:t>
      </w:r>
    </w:p>
    <w:p>
      <w:pPr>
        <w:pStyle w:val="ListBullet"/>
        <w:spacing w:before="0" w:after="160" w:line="280" w:lineRule="auto"/>
        <w:ind w:left="720" w:hanging="360"/>
      </w:pPr>
      <w:r>
        <w:rPr>
          <w:rFonts w:ascii="Arial Unicode MS" w:hAnsi="Arial Unicode MS" w:eastAsia="Arial Unicode MS" w:cs="Arial Unicode MS"/>
          <w:b w:val="0"/>
          <w:i w:val="0"/>
        </w:rPr>
        <w:t>AI出力物の利用ルール</w:t>
      </w:r>
    </w:p>
    <w:p>
      <w:pPr>
        <w:pStyle w:val="ListBullet"/>
        <w:spacing w:before="0" w:after="160" w:line="280" w:lineRule="auto"/>
        <w:ind w:left="720" w:hanging="360"/>
      </w:pPr>
      <w:r>
        <w:rPr>
          <w:rFonts w:ascii="Arial Unicode MS" w:hAnsi="Arial Unicode MS" w:eastAsia="Arial Unicode MS" w:cs="Arial Unicode MS"/>
          <w:b w:val="0"/>
          <w:i w:val="0"/>
        </w:rPr>
        <w:t>顧客との受託開発契約における権利帰属</w:t>
      </w:r>
    </w:p>
    <w:p>
      <w:pPr>
        <w:pStyle w:val="ListBullet"/>
        <w:spacing w:before="0" w:after="160" w:line="280" w:lineRule="auto"/>
        <w:ind w:left="720" w:hanging="360"/>
      </w:pPr>
      <w:r>
        <w:rPr>
          <w:rFonts w:ascii="Arial Unicode MS" w:hAnsi="Arial Unicode MS" w:eastAsia="Arial Unicode MS" w:cs="Arial Unicode MS"/>
          <w:b w:val="0"/>
          <w:i w:val="0"/>
        </w:rPr>
        <w:t>外注先との成果物権利帰属</w:t>
      </w:r>
    </w:p>
    <w:p>
      <w:pPr>
        <w:pStyle w:val="ListBullet"/>
        <w:spacing w:before="0" w:after="160" w:line="280" w:lineRule="auto"/>
        <w:ind w:left="720" w:hanging="360"/>
      </w:pPr>
      <w:r>
        <w:rPr>
          <w:rFonts w:ascii="Arial Unicode MS" w:hAnsi="Arial Unicode MS" w:eastAsia="Arial Unicode MS" w:cs="Arial Unicode MS"/>
          <w:b w:val="0"/>
          <w:i w:val="0"/>
        </w:rPr>
        <w:t>弁理士又は知財相談先</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AI研修、AI伴走、AI受託開発、SaaS、ローカルLLM等があるため、知的財産、営業秘密、データ、AI成果物、ソースコード管理が重要。</w:t>
      </w:r>
    </w:p>
    <w:p>
      <w:pPr>
        <w:pStyle w:val="ListBullet"/>
        <w:spacing w:before="0" w:after="160" w:line="280" w:lineRule="auto"/>
        <w:ind w:left="720" w:hanging="360"/>
      </w:pPr>
      <w:r>
        <w:rPr>
          <w:rFonts w:ascii="Arial Unicode MS" w:hAnsi="Arial Unicode MS" w:eastAsia="Arial Unicode MS" w:cs="Arial Unicode MS"/>
          <w:b w:val="0"/>
          <w:i w:val="0"/>
        </w:rPr>
        <w:t>現在、知的財産等はないと聞いているが、今後発生しうる権利及びノウハウを管理するために規程を整備する。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知的財産管理規程（ドラフト）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知的財産管理規程（ドラフト）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