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稟議規程（ドラフト）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本規程は、株式会社MoMoにおける稟議及び決裁の手続を定め、業務上の意思決定を適切に記録し、権限と責任を明確にすることを目的とする。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会社の業務に関する申請、承認及び決裁は、法令、定款その他別に定めるもののほか、本規程による。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稟議は、事前申請、事前承認を原則とする。</w:t>
      </w:r>
    </w:p>
    <w:p>
      <w:pPr>
        <w:pStyle w:val="ListNumber"/>
        <w:spacing w:before="0" w:after="160" w:line="280" w:lineRule="auto"/>
        <w:ind w:left="720" w:hanging="360"/>
      </w:pPr>
      <w:r>
        <w:rPr>
          <w:rFonts w:ascii="Arial Unicode MS" w:hAnsi="Arial Unicode MS" w:eastAsia="Arial Unicode MS" w:cs="Arial Unicode MS"/>
          <w:b w:val="0"/>
          <w:i w:val="0"/>
        </w:rPr>
        <w:t>申請者は、目的、理由、金額、取引先、契約内容、支払条件、リスクその他判断に必要な情報を明確にして申請しなければならない。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承認者は、申請内容の必要性、合理性、予算との整合性、法令及び社内規程との適合性を確認する。</w:t>
      </w:r>
    </w:p>
    <w:p>
      <w:pPr>
        <w:pStyle w:val="Heading1"/>
      </w:pPr>
      <w:r>
        <w:rPr>
          <w:rFonts w:ascii="Arial Unicode MS" w:hAnsi="Arial Unicode MS" w:eastAsia="Arial Unicode MS" w:cs="Arial Unicode MS"/>
          <w:b w:val="0"/>
          <w:i w:val="0"/>
        </w:rPr>
        <w:t>第2章 稟議事項</w:t>
      </w:r>
    </w:p>
    <w:p>
      <w:pPr>
        <w:pStyle w:val="Heading2"/>
      </w:pPr>
      <w:r>
        <w:rPr>
          <w:rFonts w:ascii="Arial Unicode MS" w:hAnsi="Arial Unicode MS" w:eastAsia="Arial Unicode MS" w:cs="Arial Unicode MS"/>
          <w:b w:val="0"/>
          <w:i w:val="0"/>
        </w:rPr>
        <w:t>第4条（稟議対象）</w:t>
      </w:r>
    </w:p>
    <w:p>
      <w:pPr>
        <w:spacing w:before="0" w:after="120" w:line="264" w:lineRule="auto"/>
      </w:pPr>
      <w:r>
        <w:rPr>
          <w:rFonts w:ascii="Arial Unicode MS" w:hAnsi="Arial Unicode MS" w:eastAsia="Arial Unicode MS" w:cs="Arial Unicode MS"/>
          <w:b w:val="0"/>
          <w:i w:val="0"/>
        </w:rPr>
        <w:t>次の事項は、稟議の対象とする。</w:t>
      </w:r>
    </w:p>
    <w:p>
      <w:pPr>
        <w:pStyle w:val="ListNumber"/>
        <w:spacing w:before="0" w:after="160" w:line="280" w:lineRule="auto"/>
        <w:ind w:left="720" w:hanging="360"/>
      </w:pPr>
      <w:r>
        <w:rPr>
          <w:rFonts w:ascii="Arial Unicode MS" w:hAnsi="Arial Unicode MS" w:eastAsia="Arial Unicode MS" w:cs="Arial Unicode MS"/>
          <w:b w:val="0"/>
          <w:i w:val="0"/>
        </w:rPr>
        <w:t>契約の締結、変更、解除</w:t>
      </w:r>
    </w:p>
    <w:p>
      <w:pPr>
        <w:pStyle w:val="ListNumber"/>
        <w:spacing w:before="0" w:after="160" w:line="280" w:lineRule="auto"/>
        <w:ind w:left="720" w:hanging="360"/>
      </w:pPr>
      <w:r>
        <w:rPr>
          <w:rFonts w:ascii="Arial Unicode MS" w:hAnsi="Arial Unicode MS" w:eastAsia="Arial Unicode MS" w:cs="Arial Unicode MS"/>
          <w:b w:val="0"/>
          <w:i w:val="0"/>
        </w:rPr>
        <w:t>物品、サービス、外注業務その他の発注</w:t>
      </w:r>
    </w:p>
    <w:p>
      <w:pPr>
        <w:pStyle w:val="ListNumber"/>
        <w:spacing w:before="0" w:after="160" w:line="280" w:lineRule="auto"/>
        <w:ind w:left="720" w:hanging="360"/>
      </w:pPr>
      <w:r>
        <w:rPr>
          <w:rFonts w:ascii="Arial Unicode MS" w:hAnsi="Arial Unicode MS" w:eastAsia="Arial Unicode MS" w:cs="Arial Unicode MS"/>
          <w:b w:val="0"/>
          <w:i w:val="0"/>
        </w:rPr>
        <w:t>採用、異動、昇格、報酬その他重要な人事</w:t>
      </w:r>
    </w:p>
    <w:p>
      <w:pPr>
        <w:pStyle w:val="ListNumber"/>
        <w:spacing w:before="0" w:after="160" w:line="280" w:lineRule="auto"/>
        <w:ind w:left="720" w:hanging="360"/>
      </w:pPr>
      <w:r>
        <w:rPr>
          <w:rFonts w:ascii="Arial Unicode MS" w:hAnsi="Arial Unicode MS" w:eastAsia="Arial Unicode MS" w:cs="Arial Unicode MS"/>
          <w:b w:val="0"/>
          <w:i w:val="0"/>
        </w:rPr>
        <w:t>予算外支出</w:t>
      </w:r>
    </w:p>
    <w:p>
      <w:pPr>
        <w:pStyle w:val="ListNumber"/>
        <w:spacing w:before="0" w:after="160" w:line="280" w:lineRule="auto"/>
        <w:ind w:left="720" w:hanging="360"/>
      </w:pPr>
      <w:r>
        <w:rPr>
          <w:rFonts w:ascii="Arial Unicode MS" w:hAnsi="Arial Unicode MS" w:eastAsia="Arial Unicode MS" w:cs="Arial Unicode MS"/>
          <w:b w:val="0"/>
          <w:i w:val="0"/>
        </w:rPr>
        <w:t>借入、返済、資金移動、保証その他資金に関する事項</w:t>
      </w:r>
    </w:p>
    <w:p>
      <w:pPr>
        <w:pStyle w:val="ListNumber"/>
        <w:spacing w:before="0" w:after="160" w:line="280" w:lineRule="auto"/>
        <w:ind w:left="720" w:hanging="360"/>
      </w:pPr>
      <w:r>
        <w:rPr>
          <w:rFonts w:ascii="Arial Unicode MS" w:hAnsi="Arial Unicode MS" w:eastAsia="Arial Unicode MS" w:cs="Arial Unicode MS"/>
          <w:b w:val="0"/>
          <w:i w:val="0"/>
        </w:rPr>
        <w:t>固定資産、システム、設備への投資</w:t>
      </w:r>
    </w:p>
    <w:p>
      <w:pPr>
        <w:pStyle w:val="ListNumber"/>
        <w:spacing w:before="0" w:after="160" w:line="280" w:lineRule="auto"/>
        <w:ind w:left="720" w:hanging="360"/>
      </w:pPr>
      <w:r>
        <w:rPr>
          <w:rFonts w:ascii="Arial Unicode MS" w:hAnsi="Arial Unicode MS" w:eastAsia="Arial Unicode MS" w:cs="Arial Unicode MS"/>
          <w:b w:val="0"/>
          <w:i w:val="0"/>
        </w:rPr>
        <w:t>新規取引先との取引開始</w:t>
      </w:r>
    </w:p>
    <w:p>
      <w:pPr>
        <w:pStyle w:val="ListNumber"/>
        <w:spacing w:before="0" w:after="160" w:line="280" w:lineRule="auto"/>
        <w:ind w:left="720" w:hanging="360"/>
      </w:pPr>
      <w:r>
        <w:rPr>
          <w:rFonts w:ascii="Arial Unicode MS" w:hAnsi="Arial Unicode MS" w:eastAsia="Arial Unicode MS" w:cs="Arial Unicode MS"/>
          <w:b w:val="0"/>
          <w:i w:val="0"/>
        </w:rPr>
        <w:t>重要なクレーム、紛争、事故への対応</w:t>
      </w:r>
    </w:p>
    <w:p>
      <w:pPr>
        <w:pStyle w:val="ListNumber"/>
        <w:spacing w:before="0" w:after="160" w:line="280" w:lineRule="auto"/>
        <w:ind w:left="720" w:hanging="360"/>
      </w:pPr>
      <w:r>
        <w:rPr>
          <w:rFonts w:ascii="Arial Unicode MS" w:hAnsi="Arial Unicode MS" w:eastAsia="Arial Unicode MS" w:cs="Arial Unicode MS"/>
          <w:b w:val="0"/>
          <w:i w:val="0"/>
        </w:rPr>
        <w:t>関連当事者取引、利益相反取引、競業取引</w:t>
      </w:r>
    </w:p>
    <w:p>
      <w:pPr>
        <w:pStyle w:val="ListNumber"/>
        <w:spacing w:before="0" w:after="160" w:line="280" w:lineRule="auto"/>
        <w:ind w:left="720" w:hanging="360"/>
      </w:pPr>
      <w:r>
        <w:rPr>
          <w:rFonts w:ascii="Arial Unicode MS" w:hAnsi="Arial Unicode MS" w:eastAsia="Arial Unicode MS" w:cs="Arial Unicode MS"/>
          <w:b w:val="0"/>
          <w:i w:val="0"/>
        </w:rPr>
        <w:t>その他職務権限規程又は決裁権限基準表に定める事項</w:t>
      </w:r>
    </w:p>
    <w:p>
      <w:pPr>
        <w:pStyle w:val="Heading2"/>
      </w:pPr>
      <w:r>
        <w:rPr>
          <w:rFonts w:ascii="Arial Unicode MS" w:hAnsi="Arial Unicode MS" w:eastAsia="Arial Unicode MS" w:cs="Arial Unicode MS"/>
          <w:b w:val="0"/>
          <w:i w:val="0"/>
        </w:rPr>
        <w:t>第5条（経費精算）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経費精算であっても、事前承認が必要な支出、予算外支出、高額支出その他重要な支出については、本規程に基づき事前稟議を行う。</w:t>
      </w:r>
    </w:p>
    <w:p>
      <w:pPr>
        <w:pStyle w:val="Heading1"/>
      </w:pPr>
      <w:r>
        <w:rPr>
          <w:rFonts w:ascii="Arial Unicode MS" w:hAnsi="Arial Unicode MS" w:eastAsia="Arial Unicode MS" w:cs="Arial Unicode MS"/>
          <w:b w:val="0"/>
          <w:i w:val="0"/>
        </w:rPr>
        <w:t>第3章 申請及び承認</w:t>
      </w:r>
    </w:p>
    <w:p>
      <w:pPr>
        <w:pStyle w:val="Heading2"/>
      </w:pPr>
      <w:r>
        <w:rPr>
          <w:rFonts w:ascii="Arial Unicode MS" w:hAnsi="Arial Unicode MS" w:eastAsia="Arial Unicode MS" w:cs="Arial Unicode MS"/>
          <w:b w:val="0"/>
          <w:i w:val="0"/>
        </w:rPr>
        <w:t>第6条（申請方法）</w:t>
      </w:r>
    </w:p>
    <w:p>
      <w:pPr>
        <w:spacing w:before="0" w:after="120" w:line="264" w:lineRule="auto"/>
      </w:pPr>
      <w:r>
        <w:rPr>
          <w:rFonts w:ascii="Arial Unicode MS" w:hAnsi="Arial Unicode MS" w:eastAsia="Arial Unicode MS" w:cs="Arial Unicode MS"/>
          <w:b w:val="0"/>
          <w:i w:val="0"/>
        </w:rPr>
        <w:t>稟議は、原則としてGoogleドキュメントで作成する稟議書様式及びNotion上の稟議ページ又は稟議データベースにより行う。</w:t>
      </w:r>
    </w:p>
    <w:p>
      <w:pPr>
        <w:pStyle w:val="ListNumber"/>
        <w:spacing w:before="0" w:after="160" w:line="280" w:lineRule="auto"/>
        <w:ind w:left="720" w:hanging="360"/>
      </w:pPr>
      <w:r>
        <w:rPr>
          <w:rFonts w:ascii="Arial Unicode MS" w:hAnsi="Arial Unicode MS" w:eastAsia="Arial Unicode MS" w:cs="Arial Unicode MS"/>
          <w:b w:val="0"/>
          <w:i w:val="0"/>
        </w:rPr>
        <w:t>当面の間、稟議運用が未整備の事項については、管理部が指定するGoogleドキュメントの稟議書及びNotion上の稟議台帳により管理し、Notion上に申請内容、承認状況及び関連資料の保存場所を記録する。</w:t>
      </w:r>
    </w:p>
    <w:p>
      <w:pPr>
        <w:pStyle w:val="ListNumber"/>
        <w:spacing w:before="0" w:after="160" w:line="280" w:lineRule="auto"/>
        <w:ind w:left="720" w:hanging="360"/>
      </w:pPr>
      <w:r>
        <w:rPr>
          <w:rFonts w:ascii="Arial Unicode MS" w:hAnsi="Arial Unicode MS" w:eastAsia="Arial Unicode MS" w:cs="Arial Unicode MS"/>
          <w:b w:val="0"/>
          <w:i w:val="0"/>
        </w:rPr>
        <w:t>マネーフォワードその他の業務システムで申請、承認又は証憑保存を行う場合は、当該システム上の記録又は当該記録へのリンクをNotion上の稟議記録に紐付ける。</w:t>
      </w:r>
    </w:p>
    <w:p>
      <w:pPr>
        <w:pStyle w:val="Heading2"/>
      </w:pPr>
      <w:r>
        <w:rPr>
          <w:rFonts w:ascii="Arial Unicode MS" w:hAnsi="Arial Unicode MS" w:eastAsia="Arial Unicode MS" w:cs="Arial Unicode MS"/>
          <w:b w:val="0"/>
          <w:i w:val="0"/>
        </w:rPr>
        <w:t>第7条（添付資料）</w:t>
      </w:r>
    </w:p>
    <w:p>
      <w:pPr>
        <w:spacing w:before="0" w:after="120" w:line="264" w:lineRule="auto"/>
      </w:pPr>
      <w:r>
        <w:rPr>
          <w:rFonts w:ascii="Arial Unicode MS" w:hAnsi="Arial Unicode MS" w:eastAsia="Arial Unicode MS" w:cs="Arial Unicode MS"/>
          <w:b w:val="0"/>
          <w:i w:val="0"/>
        </w:rPr>
        <w:t>申請者は、申請内容に応じて、見積書、契約書案、請求書、仕様書、比較資料、予算資料、取引先情報その他必要な資料を添付する。</w:t>
      </w:r>
    </w:p>
    <w:p>
      <w:pPr>
        <w:pStyle w:val="ListNumber"/>
        <w:spacing w:before="0" w:after="160" w:line="280" w:lineRule="auto"/>
        <w:ind w:left="720" w:hanging="360"/>
      </w:pPr>
      <w:r>
        <w:rPr>
          <w:rFonts w:ascii="Arial Unicode MS" w:hAnsi="Arial Unicode MS" w:eastAsia="Arial Unicode MS" w:cs="Arial Unicode MS"/>
          <w:b w:val="0"/>
          <w:i w:val="0"/>
        </w:rPr>
        <w:t>見積書、契約書及び請求書は、原則としてマネーフォワード上の資料又は同資料への参照情報を添付する。</w:t>
      </w:r>
    </w:p>
    <w:p>
      <w:pPr>
        <w:pStyle w:val="ListNumber"/>
        <w:spacing w:before="0" w:after="160" w:line="280" w:lineRule="auto"/>
        <w:ind w:left="720" w:hanging="360"/>
      </w:pPr>
      <w:r>
        <w:rPr>
          <w:rFonts w:ascii="Arial Unicode MS" w:hAnsi="Arial Unicode MS" w:eastAsia="Arial Unicode MS" w:cs="Arial Unicode MS"/>
          <w:b w:val="0"/>
          <w:i w:val="0"/>
        </w:rPr>
        <w:t>取引先情報は、原則としてNotion上の取引先情報又は同情報への参照情報を添付する。</w:t>
      </w:r>
    </w:p>
    <w:p>
      <w:pPr>
        <w:pStyle w:val="Heading2"/>
      </w:pPr>
      <w:r>
        <w:rPr>
          <w:rFonts w:ascii="Arial Unicode MS" w:hAnsi="Arial Unicode MS" w:eastAsia="Arial Unicode MS" w:cs="Arial Unicode MS"/>
          <w:b w:val="0"/>
          <w:i w:val="0"/>
        </w:rPr>
        <w:t>第8条（承認ルート）</w:t>
      </w:r>
    </w:p>
    <w:p>
      <w:pPr>
        <w:spacing w:before="0" w:after="120" w:line="264" w:lineRule="auto"/>
      </w:pPr>
      <w:r>
        <w:rPr>
          <w:rFonts w:ascii="Arial Unicode MS" w:hAnsi="Arial Unicode MS" w:eastAsia="Arial Unicode MS" w:cs="Arial Unicode MS"/>
          <w:b w:val="0"/>
          <w:i w:val="0"/>
        </w:rPr>
        <w:t>稟議の承認ルートは、職務権限規程及び決裁権限基準表に従う。</w:t>
      </w:r>
    </w:p>
    <w:p>
      <w:pPr>
        <w:pStyle w:val="ListNumber"/>
        <w:spacing w:before="0" w:after="160" w:line="280" w:lineRule="auto"/>
        <w:ind w:left="720" w:hanging="360"/>
      </w:pPr>
      <w:r>
        <w:rPr>
          <w:rFonts w:ascii="Arial Unicode MS" w:hAnsi="Arial Unicode MS" w:eastAsia="Arial Unicode MS" w:cs="Arial Unicode MS"/>
          <w:b w:val="0"/>
          <w:i w:val="0"/>
        </w:rPr>
        <w:t>職務権限規程及び決裁権限基準表が未整備の間は、管理部確認後、代表取締役社長が決裁する。</w:t>
      </w:r>
    </w:p>
    <w:p>
      <w:pPr>
        <w:pStyle w:val="ListNumber"/>
        <w:spacing w:before="0" w:after="160" w:line="280" w:lineRule="auto"/>
        <w:ind w:left="720" w:hanging="360"/>
      </w:pPr>
      <w:r>
        <w:rPr>
          <w:rFonts w:ascii="Arial Unicode MS" w:hAnsi="Arial Unicode MS" w:eastAsia="Arial Unicode MS" w:cs="Arial Unicode MS"/>
          <w:b w:val="0"/>
          <w:i w:val="0"/>
        </w:rPr>
        <w:t>10万円以上の支出は、原則として事前に稟議を行い、代表取締役社長の承認を得る。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50万円以上100万円未満の支出は、管理部が予算、資金繰り及び契約条件を確認したうえで、代表取締役社長が事前承認し、必要に応じて経営会議又は取締役会に報告する。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100万円以上の支出は、原則として取締役会の決議を得る。ただし、業務上緊急を要する場合は、代表取締役社長の承認により実施し、次回の取締役会に報告し、必要に応じて追認を受ける。</w:t>
      </w:r>
    </w:p>
    <w:p>
      <w:pPr>
        <w:pStyle w:val="ListNumber"/>
        <w:spacing w:before="0" w:after="160" w:line="280" w:lineRule="auto"/>
        <w:ind w:left="720" w:hanging="360"/>
      </w:pPr>
      <w:r>
        <w:rPr>
          <w:rFonts w:ascii="Arial Unicode MS" w:hAnsi="Arial Unicode MS" w:eastAsia="Arial Unicode MS" w:cs="Arial Unicode MS"/>
          <w:b w:val="0"/>
          <w:i w:val="0"/>
        </w:rPr>
        <w:t>契約締結に関する稟議は、塚原による契約内容の確認を経たうえで、代表取締役社長が最終決裁する。</w:t>
      </w:r>
    </w:p>
    <w:p>
      <w:pPr>
        <w:pStyle w:val="ListNumber"/>
        <w:spacing w:before="0" w:after="160" w:line="280" w:lineRule="auto"/>
        <w:ind w:left="720" w:hanging="360"/>
      </w:pPr>
      <w:r>
        <w:rPr>
          <w:rFonts w:ascii="Arial Unicode MS" w:hAnsi="Arial Unicode MS" w:eastAsia="Arial Unicode MS" w:cs="Arial Unicode MS"/>
          <w:b w:val="0"/>
          <w:i w:val="0"/>
        </w:rPr>
        <w:t>契約書の押印又は電子署名は、代表取締役社長が行う。</w:t>
      </w:r>
    </w:p>
    <w:p>
      <w:pPr>
        <w:pStyle w:val="ListNumber"/>
        <w:spacing w:before="0" w:after="160" w:line="280" w:lineRule="auto"/>
        <w:ind w:left="720" w:hanging="360"/>
      </w:pPr>
      <w:r>
        <w:rPr>
          <w:rFonts w:ascii="Arial Unicode MS" w:hAnsi="Arial Unicode MS" w:eastAsia="Arial Unicode MS" w:cs="Arial Unicode MS"/>
          <w:b w:val="0"/>
          <w:i w:val="0"/>
        </w:rPr>
        <w:t>関連当事者取引、利益相反取引、競業取引その他取締役会決議を要する事項は、事前に管理部が確認し、取締役会に付議する。</w:t>
      </w:r>
    </w:p>
    <w:p>
      <w:pPr>
        <w:pStyle w:val="Heading2"/>
      </w:pPr>
      <w:r>
        <w:rPr>
          <w:rFonts w:ascii="Arial Unicode MS" w:hAnsi="Arial Unicode MS" w:eastAsia="Arial Unicode MS" w:cs="Arial Unicode MS"/>
          <w:b w:val="0"/>
          <w:i w:val="0"/>
        </w:rPr>
        <w:t>第9条（事後稟議）</w:t>
      </w:r>
    </w:p>
    <w:p>
      <w:pPr>
        <w:spacing w:before="0" w:after="120" w:line="264" w:lineRule="auto"/>
      </w:pPr>
      <w:r>
        <w:rPr>
          <w:rFonts w:ascii="Arial Unicode MS" w:hAnsi="Arial Unicode MS" w:eastAsia="Arial Unicode MS" w:cs="Arial Unicode MS"/>
          <w:b w:val="0"/>
          <w:i w:val="0"/>
        </w:rPr>
        <w:t>緊急やむを得ない事情により事前稟議ができない場合、申請者は、事後速やかに稟議を行い、その理由を明記しなければならない。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事後稟議は、原則として当該処理を行った日から3営業日以内に行う。</w:t>
      </w:r>
    </w:p>
    <w:p>
      <w:pPr>
        <w:pStyle w:val="ListNumber"/>
        <w:spacing w:before="0" w:after="160" w:line="280" w:lineRule="auto"/>
        <w:ind w:left="720" w:hanging="360"/>
      </w:pPr>
      <w:r>
        <w:rPr>
          <w:rFonts w:ascii="Arial Unicode MS" w:hAnsi="Arial Unicode MS" w:eastAsia="Arial Unicode MS" w:cs="Arial Unicode MS"/>
          <w:b w:val="0"/>
          <w:i w:val="0"/>
        </w:rPr>
        <w:t>事後稟議は例外的な取扱いとし、常態化させてはならない。</w:t>
      </w:r>
    </w:p>
    <w:p>
      <w:pPr>
        <w:pStyle w:val="Heading2"/>
      </w:pPr>
      <w:r>
        <w:rPr>
          <w:rFonts w:ascii="Arial Unicode MS" w:hAnsi="Arial Unicode MS" w:eastAsia="Arial Unicode MS" w:cs="Arial Unicode MS"/>
          <w:b w:val="0"/>
          <w:i w:val="0"/>
        </w:rPr>
        <w:t>第10条（差戻し及び否認）</w:t>
      </w:r>
    </w:p>
    <w:p>
      <w:pPr>
        <w:spacing w:before="0" w:after="120" w:line="264" w:lineRule="auto"/>
      </w:pPr>
      <w:r>
        <w:rPr>
          <w:rFonts w:ascii="Arial Unicode MS" w:hAnsi="Arial Unicode MS" w:eastAsia="Arial Unicode MS" w:cs="Arial Unicode MS"/>
          <w:b w:val="0"/>
          <w:i w:val="0"/>
        </w:rPr>
        <w:t>承認者又は決裁者は、申請内容に不備がある場合、必要性又は合理性を確認できない場合、予算又は社内規程に適合しない場合、申請を差し戻し又は否認することができる。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差戻し又は否認を行う場合は、その理由をNotion上の稟議記録その他管理部が認める方法により記録する。</w:t>
      </w:r>
    </w:p>
    <w:p>
      <w:pPr>
        <w:pStyle w:val="Heading1"/>
      </w:pPr>
      <w:r>
        <w:rPr>
          <w:rFonts w:ascii="Arial Unicode MS" w:hAnsi="Arial Unicode MS" w:eastAsia="Arial Unicode MS" w:cs="Arial Unicode MS"/>
          <w:b w:val="0"/>
          <w:i w:val="0"/>
        </w:rPr>
        <w:t>第4章 管理</w:t>
      </w:r>
    </w:p>
    <w:p>
      <w:pPr>
        <w:pStyle w:val="Heading2"/>
      </w:pPr>
      <w:r>
        <w:rPr>
          <w:rFonts w:ascii="Arial Unicode MS" w:hAnsi="Arial Unicode MS" w:eastAsia="Arial Unicode MS" w:cs="Arial Unicode MS"/>
          <w:b w:val="0"/>
          <w:i w:val="0"/>
        </w:rPr>
        <w:t>第11条（稟議台帳）</w:t>
      </w:r>
    </w:p>
    <w:p>
      <w:pPr>
        <w:spacing w:before="0" w:after="120" w:line="264" w:lineRule="auto"/>
      </w:pPr>
      <w:r>
        <w:rPr>
          <w:rFonts w:ascii="Arial Unicode MS" w:hAnsi="Arial Unicode MS" w:eastAsia="Arial Unicode MS" w:cs="Arial Unicode MS"/>
          <w:b w:val="0"/>
          <w:i w:val="0"/>
        </w:rPr>
        <w:t>管理部は、稟議番号、申請日、申請者、件名、金額、取引先、承認者、承認日、決裁結果、関連資料の保存場所を記録した稟議台帳を管理する。</w:t>
      </w:r>
    </w:p>
    <w:p>
      <w:pPr>
        <w:pStyle w:val="ListNumber"/>
        <w:spacing w:before="0" w:after="160" w:line="280" w:lineRule="auto"/>
        <w:ind w:left="720" w:hanging="360"/>
      </w:pPr>
      <w:r>
        <w:rPr>
          <w:rFonts w:ascii="Arial Unicode MS" w:hAnsi="Arial Unicode MS" w:eastAsia="Arial Unicode MS" w:cs="Arial Unicode MS"/>
          <w:b w:val="0"/>
          <w:i w:val="0"/>
        </w:rPr>
        <w:t>稟議台帳は、原則としてNotion上で管理する。</w:t>
      </w:r>
    </w:p>
    <w:p>
      <w:pPr>
        <w:pStyle w:val="Heading2"/>
      </w:pPr>
      <w:r>
        <w:rPr>
          <w:rFonts w:ascii="Arial Unicode MS" w:hAnsi="Arial Unicode MS" w:eastAsia="Arial Unicode MS" w:cs="Arial Unicode MS"/>
          <w:b w:val="0"/>
          <w:i w:val="0"/>
        </w:rPr>
        <w:t>第12条（証憑保存）</w:t>
      </w:r>
    </w:p>
    <w:p>
      <w:pPr>
        <w:spacing w:before="0" w:after="120" w:line="264" w:lineRule="auto"/>
      </w:pPr>
      <w:r>
        <w:rPr>
          <w:rFonts w:ascii="Arial Unicode MS" w:hAnsi="Arial Unicode MS" w:eastAsia="Arial Unicode MS" w:cs="Arial Unicode MS"/>
          <w:b w:val="0"/>
          <w:i w:val="0"/>
        </w:rPr>
        <w:t>承認済みの稟議書、添付資料、契約書、請求書その他関連資料は、管理部が保存管理する。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見積書、契約書、請求書、経費精算資料その他マネーフォワード上で管理する資料については、マネーフォワード上の記録又は当該記録へのリンクを保存する。</w:t>
      </w:r>
    </w:p>
    <w:p>
      <w:pPr>
        <w:pStyle w:val="ListNumber"/>
        <w:spacing w:before="0" w:after="160" w:line="280" w:lineRule="auto"/>
        <w:ind w:left="720" w:hanging="360"/>
      </w:pPr>
      <w:r>
        <w:rPr>
          <w:rFonts w:ascii="Arial Unicode MS" w:hAnsi="Arial Unicode MS" w:eastAsia="Arial Unicode MS" w:cs="Arial Unicode MS"/>
          <w:b w:val="0"/>
          <w:i w:val="0"/>
        </w:rPr>
        <w:t>取引先情報、反社チェック記録、契約審査記録、関連当事者該当性の確認記録その他Notion上で管理する資料については、Notion上の記録又は当該記録へのリンクを保存する。</w:t>
      </w:r>
    </w:p>
    <w:p>
      <w:pPr>
        <w:pStyle w:val="Heading2"/>
      </w:pPr>
      <w:r>
        <w:rPr>
          <w:rFonts w:ascii="Arial Unicode MS" w:hAnsi="Arial Unicode MS" w:eastAsia="Arial Unicode MS" w:cs="Arial Unicode MS"/>
          <w:b w:val="0"/>
          <w:i w:val="0"/>
        </w:rPr>
        <w:t>第13条（モニタリング）</w:t>
      </w:r>
    </w:p>
    <w:p>
      <w:pPr>
        <w:spacing w:before="0" w:after="120" w:line="264" w:lineRule="auto"/>
      </w:pPr>
      <w:r>
        <w:rPr>
          <w:rFonts w:ascii="Arial Unicode MS" w:hAnsi="Arial Unicode MS" w:eastAsia="Arial Unicode MS" w:cs="Arial Unicode MS"/>
          <w:b w:val="0"/>
          <w:i w:val="0"/>
        </w:rPr>
        <w:t>管理部は、稟議の運用状況を定期的に確認し、未承認取引、事後稟議、証憑不足、承認ルート逸脱がある場合は、必要な改善を行う。</w:t>
      </w:r>
    </w:p>
    <w:p>
      <w:pPr>
        <w:pStyle w:val="Heading1"/>
      </w:pPr>
      <w:r>
        <w:rPr>
          <w:rFonts w:ascii="Arial Unicode MS" w:hAnsi="Arial Unicode MS" w:eastAsia="Arial Unicode MS" w:cs="Arial Unicode MS"/>
          <w:b w:val="0"/>
          <w:i w:val="0"/>
        </w:rPr>
        <w:t>第5章 改廃</w:t>
      </w:r>
    </w:p>
    <w:p>
      <w:pPr>
        <w:pStyle w:val="Heading2"/>
      </w:pPr>
      <w:r>
        <w:rPr>
          <w:rFonts w:ascii="Arial Unicode MS" w:hAnsi="Arial Unicode MS" w:eastAsia="Arial Unicode MS" w:cs="Arial Unicode MS"/>
          <w:b w:val="0"/>
          <w:i w:val="0"/>
        </w:rPr>
        <w:t>第14条（改廃）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マネーフォワードで処理している対象範囲</w:t>
      </w:r>
    </w:p>
    <w:p>
      <w:pPr>
        <w:pStyle w:val="ListBullet"/>
        <w:spacing w:before="0" w:after="160" w:line="280" w:lineRule="auto"/>
        <w:ind w:left="720" w:hanging="360"/>
      </w:pPr>
      <w:r>
        <w:rPr>
          <w:rFonts w:ascii="Arial Unicode MS" w:hAnsi="Arial Unicode MS" w:eastAsia="Arial Unicode MS" w:cs="Arial Unicode MS"/>
          <w:b w:val="0"/>
          <w:i w:val="0"/>
        </w:rPr>
        <w:t>事前承認を必要とする経費の範囲</w:t>
      </w:r>
    </w:p>
    <w:p>
      <w:pPr>
        <w:pStyle w:val="ListBullet"/>
        <w:spacing w:before="0" w:after="160" w:line="280" w:lineRule="auto"/>
        <w:ind w:left="720" w:hanging="360"/>
      </w:pPr>
      <w:r>
        <w:rPr>
          <w:rFonts w:ascii="Arial Unicode MS" w:hAnsi="Arial Unicode MS" w:eastAsia="Arial Unicode MS" w:cs="Arial Unicode MS"/>
          <w:b w:val="0"/>
          <w:i w:val="0"/>
        </w:rPr>
        <w:t>Googleドキュメント稟議書様式の具体項目</w:t>
      </w:r>
    </w:p>
    <w:p>
      <w:pPr>
        <w:pStyle w:val="ListBullet"/>
        <w:spacing w:before="0" w:after="160" w:line="280" w:lineRule="auto"/>
        <w:ind w:left="720" w:hanging="360"/>
      </w:pPr>
      <w:r>
        <w:rPr>
          <w:rFonts w:ascii="Arial Unicode MS" w:hAnsi="Arial Unicode MS" w:eastAsia="Arial Unicode MS" w:cs="Arial Unicode MS"/>
          <w:b w:val="0"/>
          <w:i w:val="0"/>
        </w:rPr>
        <w:t>Notion稟議台帳の具体項目</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現在、稟議・決裁の明確な運用はない。</w:t>
      </w:r>
    </w:p>
    <w:p>
      <w:pPr>
        <w:pStyle w:val="ListBullet"/>
        <w:spacing w:before="0" w:after="160" w:line="280" w:lineRule="auto"/>
        <w:ind w:left="720" w:hanging="360"/>
      </w:pPr>
      <w:r>
        <w:rPr>
          <w:rFonts w:ascii="Arial Unicode MS" w:hAnsi="Arial Unicode MS" w:eastAsia="Arial Unicode MS" w:cs="Arial Unicode MS"/>
          <w:b w:val="0"/>
          <w:i w:val="0"/>
        </w:rPr>
        <w:t>経費精算等はマネーフォワードを使用している。</w:t>
      </w:r>
    </w:p>
    <w:p>
      <w:pPr>
        <w:pStyle w:val="ListBullet"/>
        <w:spacing w:before="0" w:after="160" w:line="280" w:lineRule="auto"/>
        <w:ind w:left="720" w:hanging="360"/>
      </w:pPr>
      <w:r>
        <w:rPr>
          <w:rFonts w:ascii="Arial Unicode MS" w:hAnsi="Arial Unicode MS" w:eastAsia="Arial Unicode MS" w:cs="Arial Unicode MS"/>
          <w:b w:val="0"/>
          <w:i w:val="0"/>
        </w:rPr>
        <w:t>マネーフォワード上の経費精算承認者は伊藤翔。</w:t>
      </w:r>
    </w:p>
    <w:p>
      <w:pPr>
        <w:pStyle w:val="ListBullet"/>
        <w:spacing w:before="0" w:after="160" w:line="280" w:lineRule="auto"/>
        <w:ind w:left="720" w:hanging="360"/>
      </w:pPr>
      <w:r>
        <w:rPr>
          <w:rFonts w:ascii="Arial Unicode MS" w:hAnsi="Arial Unicode MS" w:eastAsia="Arial Unicode MS" w:cs="Arial Unicode MS"/>
          <w:b w:val="0"/>
          <w:i w:val="0"/>
        </w:rPr>
        <w:t>契約書は塚原確認後、伊藤翔が最終押印又は電子署名を行う。</w:t>
      </w:r>
    </w:p>
    <w:p>
      <w:pPr>
        <w:pStyle w:val="ListBullet"/>
        <w:spacing w:before="0" w:after="160" w:line="280" w:lineRule="auto"/>
        <w:ind w:left="720" w:hanging="360"/>
      </w:pPr>
      <w:r>
        <w:rPr>
          <w:rFonts w:ascii="Arial Unicode MS" w:hAnsi="Arial Unicode MS" w:eastAsia="Arial Unicode MS" w:cs="Arial Unicode MS"/>
          <w:b w:val="0"/>
          <w:i w:val="0"/>
        </w:rPr>
        <w:t>まずはGoogleドキュメントの稟議書様式と、Notion上の軽量な稟議ページ又は稟議データベース及び稟議台帳を導入し、職務権限規程・決裁権限基準表と連動させる。</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見積書、契約書、請求書はマネーフォワードを使用する。</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ListBullet"/>
        <w:spacing w:before="0" w:after="160" w:line="280" w:lineRule="auto"/>
        <w:ind w:left="720" w:hanging="360"/>
      </w:pPr>
      <w:r>
        <w:rPr>
          <w:rFonts w:ascii="Arial Unicode MS" w:hAnsi="Arial Unicode MS" w:eastAsia="Arial Unicode MS" w:cs="Arial Unicode MS"/>
          <w:b w:val="0"/>
          <w:i w:val="0"/>
        </w:rPr>
        <w:t>金額基準は、10万円以上を代表取締役承認、50万円以上を経営会議又は取締役会報告、100万円以上を原則取締役会決議とする。</w:t>
      </w:r>
    </w:p>
    <w:p>
      <w:pPr>
        <w:pStyle w:val="ListBullet"/>
        <w:spacing w:before="0" w:after="160" w:line="280" w:lineRule="auto"/>
        <w:ind w:left="720" w:hanging="360"/>
      </w:pPr>
      <w:r>
        <w:rPr>
          <w:rFonts w:ascii="Arial Unicode MS" w:hAnsi="Arial Unicode MS" w:eastAsia="Arial Unicode MS" w:cs="Arial Unicode MS"/>
          <w:b w:val="0"/>
          <w:i w:val="0"/>
        </w:rPr>
        <w:t>事後稟議は3営業日以内に行う。</w:t>
      </w:r>
    </w:p>
    <w:p>
      <w:pPr>
        <w:pStyle w:val="ListBullet"/>
        <w:spacing w:before="0" w:after="160" w:line="280" w:lineRule="auto"/>
        <w:ind w:left="720" w:hanging="360"/>
      </w:pPr>
      <w:r>
        <w:rPr>
          <w:rFonts w:ascii="Arial Unicode MS" w:hAnsi="Arial Unicode MS" w:eastAsia="Arial Unicode MS" w:cs="Arial Unicode MS"/>
          <w:b w:val="0"/>
          <w:i w:val="0"/>
        </w:rPr>
        <w:t>発注、採用、支払、銀行振込及び資金移動の最終承認者は伊藤翔とする。</w:t>
      </w:r>
    </w:p>
    <w:p>
      <w:pPr>
        <w:pStyle w:val="ListBullet"/>
        <w:spacing w:before="0" w:after="160" w:line="280" w:lineRule="auto"/>
        <w:ind w:left="720" w:hanging="360"/>
      </w:pPr>
      <w:r>
        <w:rPr>
          <w:rFonts w:ascii="Arial Unicode MS" w:hAnsi="Arial Unicode MS" w:eastAsia="Arial Unicode MS" w:cs="Arial Unicode MS"/>
          <w:b w:val="0"/>
          <w:i w:val="0"/>
        </w:rPr>
        <w:t>取締役会への上程基準は、100万円以上の重要支出、重要契約、重要外注、借入、投資その他重要事項を原則とする。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稟議規程（ドラフト）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稟議規程（ドラフト）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