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1F3A5F"/>
          <w:sz w:val="36"/>
        </w:rPr>
        <w:t>未確定論点・確認事項リスト</w:t>
      </w:r>
    </w:p>
    <w:p>
      <w:pPr>
        <w:jc w:val="right"/>
      </w:pPr>
      <w:r>
        <w:rPr>
          <w:rFonts w:ascii="Arial Unicode MS" w:hAnsi="Arial Unicode MS" w:eastAsia="Arial Unicode MS" w:cs="Arial Unicode MS"/>
          <w:b w:val="0"/>
          <w:color w:val="5B677A"/>
          <w:sz w:val="18"/>
        </w:rPr>
        <w:t>株式会社MoMo / 上場準備レビュー資料 / 作成日：2026年8月5日</w:t>
      </w:r>
    </w:p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1. 支援会社へ確認したい未確定論点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No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領域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現状反映済み事項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確認したい内容</w:t>
            </w:r>
          </w:p>
        </w:tc>
        <w:tc>
          <w:tcPr>
            <w:tcW w:type="dxa" w:w="1872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優先度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機関設計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N-1期中に取締役会設置会社・監査役設置会社へ移行方針。追加取締役1名は未定、外部候補を検討。外部非常勤監査役候補も未定。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追加取締役候補及び外部監査役候補の要件、選任時期、報酬、任期、責任限定契約、監査役会を当面置かない設計の妥当性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会議体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月次決算完了後すぐ経営会議を開催し、必要事項を取締役会へ上程。資料提出期限は3日前。議事録等はNotion確認記録で管理。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取締役会・経営会議の開催頻度、議題、議事録承認証跡、決議・報告事項の粒度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決裁統制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10万円以上代表承認、50万円以上経営会議又は取締役会報告、100万円以上原則取締役会決議。事後稟議は3営業日以内。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MoMoの規模及び上場準備水準から見た金額基準、事後稟議許容範囲、通常取引の例外設定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内部監査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初期は外部専門家活用。社内候補者なし。外部専門家未定。初回内部監査はN-1期下期想定。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外部内部監査支援先の選定要件、独立性、初年度監査範囲、初回サンプル件数、監査役監査との役割分担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反社・関連当事者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反社は管理部がWeb検索等の簡易チェックで開始。疑義相談先はOneasia越路先生。関連当事者管理責任者は未定。既存取引なし。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反社チェック方法、既存取引先の遡及範囲、関連当事者調査票対象、近親者・主要株主範囲、承認例外、開示検討時期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6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労務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末締め翌20日支払い、固定残業10時間分、通常賞与あり、人事評価は半期評価で賞与連動。就業規則PDFに支払日・労働時間・賞与算定期間の不整合あり。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社労士レビュー前に修正すべき就業規則・賃金規程・人事評価規程の論点、賞与算定期間、固定残業の記載方法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高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経理・資金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経理責任者及び月次確認者は柿塚。税理士は税理士法人cosmos。資金繰り表・銀行口座一覧はN-1期中に管理部が作成。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月次決算締め日程、月次処理項目、資金繰り表フォーマット、売上計上基準、固定資産・棚卸・税務処理のレビュー順序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中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情報管理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情報セキュリティ責任者は張、個人情報保護責任者は柿塚。主要サービスMFA必須。プライバシーポリシーは未公開。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プライバシーポリシー公開時期、AI入力禁止情報の詳細、ログ管理、インシデント時の連絡手段・顧客報告判断者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中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文書・証跡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文書管理台帳はNotion。Google Drive、Notion、マネーフォワード権限管理者は出水。契約書は電子契約中心。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電子帳簿保存法対応、フォルダ・ページ設計、保存期間10年中心の妥当性、紙原本発生時の統制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中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販売・購買・外注・クレーム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MFとNotionを中心に運用。購買相見積は50万円以上目安。外注検収は発注部門責任者。クレーム管理責任者は管理部。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承認フロー、発注担当者、外注先選定基準、返金・値引・補償・契約解除の金額基準、研修品質問題の初動責任者</w:t>
            </w:r>
          </w:p>
        </w:tc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中</w:t>
            </w:r>
          </w:p>
        </w:tc>
      </w:tr>
    </w:tbl>
    <w:p/>
    <w:p>
      <w:pPr>
        <w:spacing w:before="24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2. 支援会社へ確認したいレビュー観点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現時点の規程35本の粒度が、TOKYO PRO Market準備段階として過不足ないか。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グロース市場を見据えた場合に、今から追加すべき規程、細則、要領、業務フロー、RCMがあるか。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内部統制文書化に向け、業務記述書・フローチャート・RCMの作成順序はどこから始めるべきか。</w:t>
      </w:r>
    </w:p>
    <w:p>
      <w:pPr>
        <w:pStyle w:val="ListBullet"/>
        <w:spacing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監査法人・J-Adviser・主幹事候補に提出する場合、先に整えるべき証跡は何か。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