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職務権限規程（ドラフト）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本規程は、株式会社MoMoにおける職務権限及び決裁権限を定め、業務執行における責任と権限を明確にし、適切な内部牽制を確保することを目的とする。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会社の業務執行、申請、承認及び決裁に関する権限は、法令、定款その他別に定めるもののほか、本規程及び別表「決裁権限基準表」による。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第3条（基本方針）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業務執行は、職務分掌に基づき、担当者、確認者、承認者及び決裁者を分離することを原則とする。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牽制上必要な場合、申請者と承認者、発注者と検収者、支払依頼者と支払承認者は、可能な限り分離する。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現在の人員体制上分離が困難な場合であっても、管理部又は代表取締役社長による確認を行い、証跡を残す。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権限区分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第4条（権限の種類）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職務権限は、次の区分とする。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申請権限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確認権限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承認権限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報告権限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第5条（決裁者）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決裁者は、別表「決裁権限基準表」に従い、申請事項について最終判断を行う。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決裁権限基準表に定めのない事項又は判断が困難な事項は、代表取締役社長の決裁とする。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決裁権限基準表に定める金額基準は、消費税を含む総額を基準とする。ただし、継続取引、月額契約、分割発注その他実質的に一体の取引と認められる場合は、年間見込額又は契約期間総額を基準とする。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重要事項は、取締役会に付議する。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代表取締役社長は、伊藤翔とする。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第6条（代行）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決裁者が不在の場合、あらかじめ定めた代行者が決裁を代行することができる。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代行決裁を行った場合、代行者は、事後速やかに本来の決裁者へ報告する。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取締役会付議事項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第7条（取締役会付議）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次の事項は、取締役会に付議する。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経営方針、年度予算、中期経営計画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重要な組織変更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重要な規程の制定及び改廃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重要な契約、投資、借入、保証、資産取得又は処分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関連当事者取引、利益相反取引、競業取引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重要な人事及び役員報酬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重要な訴訟、紛争、事故、不祥事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その他法令、定款又は取締役会規程に定める事項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前項にかかわらず、緊急を要し取締役会の決議を事前に得ることが困難な場合は、代表取締役社長が必要な措置を行い、次回の取締役会に報告し、必要に応じて追認を受けるものとする。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決裁権限基準表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第8条（決裁権限基準表）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決裁権限の具体的基準は、別表「決裁権限基準表」に定める。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決裁権限基準表は、事業内容、組織体制及び内部管理体制の整備状況に応じて見直す。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本規程及び決裁権限基準表の主管部署は、管理部とする。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第10条（例外処理）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本規程に定める権限によらない例外的な処理を行う場合は、事前に管理部へ相談し、代表取締役社長の承認を得る。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第11条（モニタリング）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管理部は、決裁権限の運用状況を定期的に確認し、権限逸脱、事後承認、証憑不足等がある場合は、必要な改善を行う。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改廃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別表：決裁権限基準表（初期たたき台）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項目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申請・起案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確認者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代表取締役社長決裁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取締役会決議・報告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経費精算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利用者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マネーフォワード上の承認ルートに従い確認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10万円未満の通常経費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管理部又は部門責任者が確認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必要に応じ伊藤翔が決裁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10万円以上50万円未満の支出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管理部が予算、必要性、証憑を確認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必要に応じ報告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50万円以上100万円未満の支出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管理部が予算、資金繰り、契約条件を確認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経営会議又は取締役会に報告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管理部が予算、資金繰り、契約条件を確認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原則として取締役会決議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予算外支出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管理部が予算外理由と資金繰りを確認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50万円以上は経営会議又は取締役会に報告、100万円以上は原則決議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契約締結、変更、解除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塚原が契約内容を確認し、必要に応じ管理部が確認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伊藤翔が最終決裁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重要契約、長期契約、例外条件を含む契約は取締役会に付議又は報告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顧客向け見積、値引、返金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管理部又は営業責任者が確認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重要又は例外的な場合は伊藤翔が決裁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多額又は重要な場合は報告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発注・購買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管理部が取引先、金額、予算を確認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100万円以上又は重要な場合は取締役会に付議又は報告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外注・業務委託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管理部及び塚原が契約、成果物、情報管理を確認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100万円以上、重要開発、知財・個人情報に重要な影響がある場合は取締役会に付議又は報告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採用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管理部又は人事が条件、予算、雇用形態を確認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役員、執行役員、重要人事は取締役会決議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給与、報酬、評価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管理部又は人事が確認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役員報酬、重要な報酬制度変更は取締役会決議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借入・資金調達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管理部が条件、資金繰り、返済計画を確認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原則として取締役会決議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支払・銀行振込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担当者又は管理部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伊藤翔及び柿塚が経理処理を確認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口座開設、資金移動、金融機関取引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伊藤翔及び柿塚が経理処理を確認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固定資産、PC、システム、SaaSの取得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管理部が予算、情報管理、資産計上要否を確認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100万円以上又は重要システムは取締役会に付議又は報告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関連当事者取引、利益相反取引、競業取引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担当者又は該当役職員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管理部が関連当事者該当性と取引条件を確認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原則として取締役会決議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部門長、経理責任者の有無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代表取締役社長以外の決裁者を置くか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現在、明確な稟議・決裁運用はない。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人員体制が限定的なため、初期は管理部確認及び代表取締役社長決裁を中心に設計する。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上場準備の進捗に合わせ、部門長承認、管理部確認、取締役会付議の線引きを細分化する。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経理実務は伊藤翔及び柿塚が担当する。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稟議及び承認の証跡は、当面はNotion、マネーフォワード、関連資料へのリンクにより管理する。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金額基準は、10万円以上を代表取締役承認、50万円以上を経営会議又は取締役会報告、100万円以上を原則取締役会決議とする。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稟議はNotionで運用開始し、稟議書様式はGoogleドキュメントで作成する。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契約締結前の確認者は塚原、最終承認及び押印又は電子署名は伊藤翔とする。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支払、銀行振込、資金移動、発注及び採用の最終承認者は伊藤翔とする。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取締役会への上程基準は、100万円以上の重要支出、重要契約、重要外注、借入、投資その他重要事項を原則とする。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職務権限規程（ドラフト）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職務権限規程（ドラフト）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