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リスク・コンプライアンス管理規程（ドラフト）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第1条（適用範囲）</w:t>
      </w:r>
    </w:p>
    <w:p>
      <w:pPr>
        <w:spacing w:before="0" w:after="120" w:line="264" w:lineRule="auto"/>
      </w:pPr>
      <w:r>
        <w:rPr>
          <w:rFonts w:ascii="Arial Unicode MS" w:hAnsi="Arial Unicode MS" w:eastAsia="Arial Unicode MS" w:cs="Arial Unicode MS"/>
          <w:b w:val="0"/>
          <w:i w:val="0"/>
        </w:rPr>
        <w:t>本規程は、株式会社MoMo（以下「当社」という。）の役員、従業員、契約社員、パートタイマー、アルバイト、インターン、派遣社員、業務委託先、外注先その他当社の業務に従事するすべての者（以下「役職員等」という。）に適用する。</w:t>
      </w:r>
    </w:p>
    <w:p>
      <w:pPr>
        <w:pStyle w:val="Heading2"/>
      </w:pPr>
      <w:r>
        <w:rPr>
          <w:rFonts w:ascii="Arial Unicode MS" w:hAnsi="Arial Unicode MS" w:eastAsia="Arial Unicode MS" w:cs="Arial Unicode MS"/>
          <w:b w:val="0"/>
          <w:i w:val="0"/>
        </w:rPr>
        <w:t>第2条（目的）</w:t>
      </w:r>
    </w:p>
    <w:p>
      <w:pPr>
        <w:spacing w:before="0" w:after="120" w:line="264" w:lineRule="auto"/>
      </w:pPr>
      <w:r>
        <w:rPr>
          <w:rFonts w:ascii="Arial Unicode MS" w:hAnsi="Arial Unicode MS" w:eastAsia="Arial Unicode MS" w:cs="Arial Unicode MS"/>
          <w:b w:val="0"/>
          <w:i w:val="0"/>
        </w:rPr>
        <w:t>本規程は、当社における役職員等のコンプライアンス意識の向上を図るとともに、リスク及びコンプライアンスを円滑かつ効果的に管理するための組織体制、運営方法、報告、教育及び是正に関する基本事項を定めることを目的とする。</w:t>
      </w:r>
    </w:p>
    <w:p>
      <w:pPr>
        <w:pStyle w:val="ListNumber"/>
        <w:spacing w:before="0" w:after="160" w:line="280" w:lineRule="auto"/>
        <w:ind w:left="720" w:hanging="360"/>
      </w:pPr>
      <w:r>
        <w:rPr>
          <w:rFonts w:ascii="Arial Unicode MS" w:hAnsi="Arial Unicode MS" w:eastAsia="Arial Unicode MS" w:cs="Arial Unicode MS"/>
          <w:b w:val="0"/>
          <w:i w:val="0"/>
        </w:rPr>
        <w:t>当社は、AI研修、AI伴走、OEM、AI受託開発、SaaS、キャリアコーチングその他当社事業の特性を踏まえ、法令、定款、社内規程、契約、社会規範及び企業倫理を遵守し、上場準備上必要な内部管理体制を整備する。</w:t>
      </w:r>
    </w:p>
    <w:p>
      <w:pPr>
        <w:pStyle w:val="Heading2"/>
      </w:pPr>
      <w:r>
        <w:rPr>
          <w:rFonts w:ascii="Arial Unicode MS" w:hAnsi="Arial Unicode MS" w:eastAsia="Arial Unicode MS" w:cs="Arial Unicode MS"/>
          <w:b w:val="0"/>
          <w:i w:val="0"/>
        </w:rPr>
        <w:t>第3条（定義）</w:t>
      </w:r>
    </w:p>
    <w:p>
      <w:pPr>
        <w:spacing w:before="0" w:after="120" w:line="264" w:lineRule="auto"/>
      </w:pPr>
      <w:r>
        <w:rPr>
          <w:rFonts w:ascii="Arial Unicode MS" w:hAnsi="Arial Unicode MS" w:eastAsia="Arial Unicode MS" w:cs="Arial Unicode MS"/>
          <w:b w:val="0"/>
          <w:i w:val="0"/>
        </w:rPr>
        <w:t>本規程において「コンプライアンス」とは、当社の役職員等が業務遂行にあたり、法令、定款、社内規程、契約、社会規範、企業倫理及び当社が定める行動基準を遵守することをいう。</w:t>
      </w:r>
    </w:p>
    <w:p>
      <w:pPr>
        <w:pStyle w:val="ListNumber"/>
        <w:spacing w:before="0" w:after="160" w:line="280" w:lineRule="auto"/>
        <w:ind w:left="720" w:hanging="360"/>
      </w:pPr>
      <w:r>
        <w:rPr>
          <w:rFonts w:ascii="Arial Unicode MS" w:hAnsi="Arial Unicode MS" w:eastAsia="Arial Unicode MS" w:cs="Arial Unicode MS"/>
          <w:b w:val="0"/>
          <w:i w:val="0"/>
        </w:rPr>
        <w:t>本規程において「リスク」とは、当社の事業、財務、信用、法令遵守、情報管理、人事労務、顧客対応、システム、上場準備その他会社運営に不利益又は損害を与える可能性のある事象をいう。</w:t>
      </w:r>
    </w:p>
    <w:p>
      <w:pPr>
        <w:pStyle w:val="ListNumber"/>
        <w:spacing w:before="0" w:after="160" w:line="280" w:lineRule="auto"/>
        <w:ind w:left="720" w:hanging="360"/>
      </w:pPr>
      <w:r>
        <w:rPr>
          <w:rFonts w:ascii="Arial Unicode MS" w:hAnsi="Arial Unicode MS" w:eastAsia="Arial Unicode MS" w:cs="Arial Unicode MS"/>
          <w:b w:val="0"/>
          <w:i w:val="0"/>
        </w:rPr>
        <w:t>本規程において「重大リスク」とは、法令違反、不正、不祥事、情報漏えい、重大クレーム、重大なシステム障害、重大な労務問題、反社会的勢力との関係、関連当事者取引の不備、上場準備上重要な内部管理体制の不備その他当社の経営、信用又は上場準備に重要な影響を及ぼすおそれのあるリスクをいう。</w:t>
      </w:r>
    </w:p>
    <w:p>
      <w:pPr>
        <w:pStyle w:val="Heading1"/>
      </w:pPr>
      <w:r>
        <w:rPr>
          <w:rFonts w:ascii="Arial Unicode MS" w:hAnsi="Arial Unicode MS" w:eastAsia="Arial Unicode MS" w:cs="Arial Unicode MS"/>
          <w:b w:val="0"/>
          <w:i w:val="0"/>
        </w:rPr>
        <w:t>第2章 リスク・コンプライアンス推進体制</w:t>
      </w:r>
    </w:p>
    <w:p>
      <w:pPr>
        <w:pStyle w:val="Heading2"/>
      </w:pPr>
      <w:r>
        <w:rPr>
          <w:rFonts w:ascii="Arial Unicode MS" w:hAnsi="Arial Unicode MS" w:eastAsia="Arial Unicode MS" w:cs="Arial Unicode MS"/>
          <w:b w:val="0"/>
          <w:i w:val="0"/>
        </w:rPr>
        <w:t>第4条（推進体制）</w:t>
      </w:r>
    </w:p>
    <w:p>
      <w:pPr>
        <w:spacing w:before="0" w:after="120" w:line="264" w:lineRule="auto"/>
      </w:pPr>
      <w:r>
        <w:rPr>
          <w:rFonts w:ascii="Arial Unicode MS" w:hAnsi="Arial Unicode MS" w:eastAsia="Arial Unicode MS" w:cs="Arial Unicode MS"/>
          <w:b w:val="0"/>
          <w:i w:val="0"/>
        </w:rPr>
        <w:t>当社におけるリスク・コンプライアンス推進体制は、次のとおりとする。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取締役会：リスク・コンプライアンスに関する重要事項を決定し、重要な管理状況及び重大リスクの報告を受ける。</w:t>
      </w:r>
    </w:p>
    <w:p>
      <w:pPr>
        <w:pStyle w:val="ListNumber"/>
        <w:spacing w:before="0" w:after="160" w:line="280" w:lineRule="auto"/>
        <w:ind w:left="720" w:hanging="360"/>
      </w:pPr>
      <w:r>
        <w:rPr>
          <w:rFonts w:ascii="Arial Unicode MS" w:hAnsi="Arial Unicode MS" w:eastAsia="Arial Unicode MS" w:cs="Arial Unicode MS"/>
          <w:b w:val="0"/>
          <w:i w:val="0"/>
        </w:rPr>
        <w:t>経営会議：リスク・コンプライアンスに関する実務上の審議、協議、共有及び報告を行う。</w:t>
      </w:r>
    </w:p>
    <w:p>
      <w:pPr>
        <w:pStyle w:val="ListNumber"/>
        <w:spacing w:before="0" w:after="160" w:line="280" w:lineRule="auto"/>
        <w:ind w:left="720" w:hanging="360"/>
      </w:pPr>
      <w:r>
        <w:rPr>
          <w:rFonts w:ascii="Arial Unicode MS" w:hAnsi="Arial Unicode MS" w:eastAsia="Arial Unicode MS" w:cs="Arial Unicode MS"/>
          <w:b w:val="0"/>
          <w:i w:val="0"/>
        </w:rPr>
        <w:t>管理部：リスク・コンプライアンス管理の主管部署として、企画、運用、教育、点検、記録及び報告を統括する。</w:t>
      </w:r>
    </w:p>
    <w:p>
      <w:pPr>
        <w:pStyle w:val="ListNumber"/>
        <w:spacing w:before="0" w:after="160" w:line="280" w:lineRule="auto"/>
        <w:ind w:left="720" w:hanging="360"/>
      </w:pPr>
      <w:r>
        <w:rPr>
          <w:rFonts w:ascii="Arial Unicode MS" w:hAnsi="Arial Unicode MS" w:eastAsia="Arial Unicode MS" w:cs="Arial Unicode MS"/>
          <w:b w:val="0"/>
          <w:i w:val="0"/>
        </w:rPr>
        <w:t>各部門責任者：担当部門におけるリスク・コンプライアンス管理を推進し、必要な報告及び是正を行う。</w:t>
      </w:r>
    </w:p>
    <w:p>
      <w:pPr>
        <w:pStyle w:val="ListNumber"/>
        <w:spacing w:before="0" w:after="160" w:line="280" w:lineRule="auto"/>
        <w:ind w:left="720" w:hanging="360"/>
      </w:pPr>
      <w:r>
        <w:rPr>
          <w:rFonts w:ascii="Arial Unicode MS" w:hAnsi="Arial Unicode MS" w:eastAsia="Arial Unicode MS" w:cs="Arial Unicode MS"/>
          <w:b w:val="0"/>
          <w:i w:val="0"/>
        </w:rPr>
        <w:t>内部監査責任者：内部監査規程及び内部監査計画に基づき、リスク・コンプライアンス管理の整備及び運用状況を監査する。</w:t>
      </w:r>
    </w:p>
    <w:p>
      <w:pPr>
        <w:pStyle w:val="ListNumber"/>
        <w:spacing w:before="0" w:after="160" w:line="280" w:lineRule="auto"/>
        <w:ind w:left="720" w:hanging="360"/>
      </w:pPr>
      <w:r>
        <w:rPr>
          <w:rFonts w:ascii="Arial Unicode MS" w:hAnsi="Arial Unicode MS" w:eastAsia="Arial Unicode MS" w:cs="Arial Unicode MS"/>
          <w:b w:val="0"/>
          <w:i w:val="0"/>
        </w:rPr>
        <w:t>監査役：監査役設置後、取締役会、経営会議、内部監査及び管理部から必要な報告を受け、取締役の職務執行を監査する。</w:t>
      </w:r>
    </w:p>
    <w:p>
      <w:pPr>
        <w:pStyle w:val="Heading2"/>
      </w:pPr>
      <w:r>
        <w:rPr>
          <w:rFonts w:ascii="Arial Unicode MS" w:hAnsi="Arial Unicode MS" w:eastAsia="Arial Unicode MS" w:cs="Arial Unicode MS"/>
          <w:b w:val="0"/>
          <w:i w:val="0"/>
        </w:rPr>
        <w:t>第5条（リスク・コンプライアンス管理責任者）</w:t>
      </w:r>
    </w:p>
    <w:p>
      <w:pPr>
        <w:spacing w:before="0" w:after="120" w:line="264" w:lineRule="auto"/>
      </w:pPr>
      <w:r>
        <w:rPr>
          <w:rFonts w:ascii="Arial Unicode MS" w:hAnsi="Arial Unicode MS" w:eastAsia="Arial Unicode MS" w:cs="Arial Unicode MS"/>
          <w:b w:val="0"/>
          <w:i w:val="0"/>
        </w:rPr>
        <w:t>リスク・コンプライアンス管理責任者は、代表取締役社長又は代表取締役社長が指名する者とする。</w:t>
      </w:r>
    </w:p>
    <w:p>
      <w:pPr>
        <w:pStyle w:val="ListNumber"/>
        <w:spacing w:before="0" w:after="160" w:line="280" w:lineRule="auto"/>
        <w:ind w:left="720" w:hanging="360"/>
      </w:pPr>
      <w:r>
        <w:rPr>
          <w:rFonts w:ascii="Arial Unicode MS" w:hAnsi="Arial Unicode MS" w:eastAsia="Arial Unicode MS" w:cs="Arial Unicode MS"/>
          <w:b w:val="0"/>
          <w:i w:val="0"/>
        </w:rPr>
        <w:t>リスク・コンプライアンス管理責任者は、リスク・コンプライアンス管理方針、推進体制、教育、点検、重大リスク対応、是正措置及び経営会議又は取締役会への報告を統括する。</w:t>
      </w:r>
    </w:p>
    <w:p>
      <w:pPr>
        <w:pStyle w:val="Heading2"/>
      </w:pPr>
      <w:r>
        <w:rPr>
          <w:rFonts w:ascii="Arial Unicode MS" w:hAnsi="Arial Unicode MS" w:eastAsia="Arial Unicode MS" w:cs="Arial Unicode MS"/>
          <w:b w:val="0"/>
          <w:i w:val="0"/>
        </w:rPr>
        <w:t>第6条（推進会議）</w:t>
      </w:r>
    </w:p>
    <w:p>
      <w:pPr>
        <w:spacing w:before="0" w:after="120" w:line="264" w:lineRule="auto"/>
      </w:pPr>
      <w:r>
        <w:rPr>
          <w:rFonts w:ascii="Arial Unicode MS" w:hAnsi="Arial Unicode MS" w:eastAsia="Arial Unicode MS" w:cs="Arial Unicode MS"/>
          <w:b w:val="0"/>
          <w:i w:val="0"/>
        </w:rPr>
        <w:t>当社は、独立したコンプライアンス推進委員会を設置するまでの間、経営会議をリスク・コンプライアンス推進会議として運用する。</w:t>
      </w:r>
    </w:p>
    <w:p>
      <w:pPr>
        <w:pStyle w:val="ListNumber"/>
        <w:spacing w:before="0" w:after="160" w:line="280" w:lineRule="auto"/>
        <w:ind w:left="720" w:hanging="360"/>
      </w:pPr>
      <w:r>
        <w:rPr>
          <w:rFonts w:ascii="Arial Unicode MS" w:hAnsi="Arial Unicode MS" w:eastAsia="Arial Unicode MS" w:cs="Arial Unicode MS"/>
          <w:b w:val="0"/>
          <w:i w:val="0"/>
        </w:rPr>
        <w:t>経営会議は、必要に応じて次の事項を審議、協議又は報告する。</w:t>
      </w:r>
    </w:p>
    <w:p>
      <w:pPr>
        <w:pStyle w:val="ListNumber"/>
        <w:spacing w:before="0" w:after="160" w:line="280" w:lineRule="auto"/>
        <w:ind w:left="720" w:hanging="360"/>
      </w:pPr>
      <w:r>
        <w:rPr>
          <w:rFonts w:ascii="Arial Unicode MS" w:hAnsi="Arial Unicode MS" w:eastAsia="Arial Unicode MS" w:cs="Arial Unicode MS"/>
          <w:b w:val="0"/>
          <w:i w:val="0"/>
        </w:rPr>
        <w:t>リスク・コンプライアンスに関する基本方針、計画及び体制</w:t>
      </w:r>
    </w:p>
    <w:p>
      <w:pPr>
        <w:pStyle w:val="ListNumber"/>
        <w:spacing w:before="0" w:after="160" w:line="280" w:lineRule="auto"/>
        <w:ind w:left="720" w:hanging="360"/>
      </w:pPr>
      <w:r>
        <w:rPr>
          <w:rFonts w:ascii="Arial Unicode MS" w:hAnsi="Arial Unicode MS" w:eastAsia="Arial Unicode MS" w:cs="Arial Unicode MS"/>
          <w:b w:val="0"/>
          <w:i w:val="0"/>
        </w:rPr>
        <w:t>主要リスク、重大リスク及び対応状況</w:t>
      </w:r>
    </w:p>
    <w:p>
      <w:pPr>
        <w:pStyle w:val="ListNumber"/>
        <w:spacing w:before="0" w:after="160" w:line="280" w:lineRule="auto"/>
        <w:ind w:left="720" w:hanging="360"/>
      </w:pPr>
      <w:r>
        <w:rPr>
          <w:rFonts w:ascii="Arial Unicode MS" w:hAnsi="Arial Unicode MS" w:eastAsia="Arial Unicode MS" w:cs="Arial Unicode MS"/>
          <w:b w:val="0"/>
          <w:i w:val="0"/>
        </w:rPr>
        <w:t>法令違反、規程違反、不正、不祥事又はそのおそれ</w:t>
      </w:r>
    </w:p>
    <w:p>
      <w:pPr>
        <w:pStyle w:val="ListNumber"/>
        <w:spacing w:before="0" w:after="160" w:line="280" w:lineRule="auto"/>
        <w:ind w:left="720" w:hanging="360"/>
      </w:pPr>
      <w:r>
        <w:rPr>
          <w:rFonts w:ascii="Arial Unicode MS" w:hAnsi="Arial Unicode MS" w:eastAsia="Arial Unicode MS" w:cs="Arial Unicode MS"/>
          <w:b w:val="0"/>
          <w:i w:val="0"/>
        </w:rPr>
        <w:t>内部通報、クレーム、情報セキュリティインシデント、個人情報漏えい等</w:t>
      </w:r>
    </w:p>
    <w:p>
      <w:pPr>
        <w:pStyle w:val="ListNumber"/>
        <w:spacing w:before="0" w:after="160" w:line="280" w:lineRule="auto"/>
        <w:ind w:left="720" w:hanging="360"/>
      </w:pPr>
      <w:r>
        <w:rPr>
          <w:rFonts w:ascii="Arial Unicode MS" w:hAnsi="Arial Unicode MS" w:eastAsia="Arial Unicode MS" w:cs="Arial Unicode MS"/>
          <w:b w:val="0"/>
          <w:i w:val="0"/>
        </w:rPr>
        <w:t>反社会的勢力対応、関連当事者取引、与信、外注、契約その他内部管理上重要な事項</w:t>
      </w:r>
    </w:p>
    <w:p>
      <w:pPr>
        <w:pStyle w:val="ListNumber"/>
        <w:spacing w:before="0" w:after="160" w:line="280" w:lineRule="auto"/>
        <w:ind w:left="720" w:hanging="360"/>
      </w:pPr>
      <w:r>
        <w:rPr>
          <w:rFonts w:ascii="Arial Unicode MS" w:hAnsi="Arial Unicode MS" w:eastAsia="Arial Unicode MS" w:cs="Arial Unicode MS"/>
          <w:b w:val="0"/>
          <w:i w:val="0"/>
        </w:rPr>
        <w:t>コンプライアンス教育及び周知</w:t>
      </w:r>
    </w:p>
    <w:p>
      <w:pPr>
        <w:pStyle w:val="ListNumber"/>
        <w:spacing w:before="0" w:after="160" w:line="280" w:lineRule="auto"/>
        <w:ind w:left="720" w:hanging="360"/>
      </w:pPr>
      <w:r>
        <w:rPr>
          <w:rFonts w:ascii="Arial Unicode MS" w:hAnsi="Arial Unicode MS" w:eastAsia="Arial Unicode MS" w:cs="Arial Unicode MS"/>
          <w:b w:val="0"/>
          <w:i w:val="0"/>
        </w:rPr>
        <w:t>内部監査、監査役監査、外部専門家レビュー又は上場支援会社レビューで指摘された事項</w:t>
      </w:r>
    </w:p>
    <w:p>
      <w:pPr>
        <w:pStyle w:val="ListNumber"/>
        <w:spacing w:before="0" w:after="160" w:line="280" w:lineRule="auto"/>
        <w:ind w:left="720" w:hanging="360"/>
      </w:pPr>
      <w:r>
        <w:rPr>
          <w:rFonts w:ascii="Arial Unicode MS" w:hAnsi="Arial Unicode MS" w:eastAsia="Arial Unicode MS" w:cs="Arial Unicode MS"/>
          <w:b w:val="0"/>
          <w:i w:val="0"/>
        </w:rPr>
        <w:t>その他リスク・コンプライアンス体制の構築及び推進に必要な事項</w:t>
      </w:r>
    </w:p>
    <w:p>
      <w:pPr>
        <w:pStyle w:val="Heading2"/>
      </w:pPr>
      <w:r>
        <w:rPr>
          <w:rFonts w:ascii="Arial Unicode MS" w:hAnsi="Arial Unicode MS" w:eastAsia="Arial Unicode MS" w:cs="Arial Unicode MS"/>
          <w:b w:val="0"/>
          <w:i w:val="0"/>
        </w:rPr>
        <w:t>第7条（各部門の責務）</w:t>
      </w:r>
    </w:p>
    <w:p>
      <w:pPr>
        <w:spacing w:before="0" w:after="120" w:line="264" w:lineRule="auto"/>
      </w:pPr>
      <w:r>
        <w:rPr>
          <w:rFonts w:ascii="Arial Unicode MS" w:hAnsi="Arial Unicode MS" w:eastAsia="Arial Unicode MS" w:cs="Arial Unicode MS"/>
          <w:b w:val="0"/>
          <w:i w:val="0"/>
        </w:rPr>
        <w:t>各部門は、担当業務に関するリスク及びコンプライアンス上の課題を把握し、必要な対応を行う。</w:t>
      </w:r>
    </w:p>
    <w:p>
      <w:pPr>
        <w:pStyle w:val="ListNumber"/>
        <w:spacing w:before="0" w:after="160" w:line="280" w:lineRule="auto"/>
        <w:ind w:left="720" w:hanging="360"/>
      </w:pPr>
      <w:r>
        <w:rPr>
          <w:rFonts w:ascii="Arial Unicode MS" w:hAnsi="Arial Unicode MS" w:eastAsia="Arial Unicode MS" w:cs="Arial Unicode MS"/>
          <w:b w:val="0"/>
          <w:i w:val="0"/>
        </w:rPr>
        <w:t>各部門は、重大リスク、法令違反、規程違反、不正、不祥事又はそのおそれを把握した場合、速やかに管理部又はリスク・コンプライアンス管理責任者へ報告しなければならない。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各部門責任者は、所属員及び関係する外注先等が本規程及び関連規程を遵守するよう周知し、必要に応じて教育及び指導を行う。</w:t>
      </w:r>
    </w:p>
    <w:p>
      <w:pPr>
        <w:pStyle w:val="Heading1"/>
      </w:pPr>
      <w:r>
        <w:rPr>
          <w:rFonts w:ascii="Arial Unicode MS" w:hAnsi="Arial Unicode MS" w:eastAsia="Arial Unicode MS" w:cs="Arial Unicode MS"/>
          <w:b w:val="0"/>
          <w:i w:val="0"/>
        </w:rPr>
        <w:t>第3章 リスク管理</w:t>
      </w:r>
    </w:p>
    <w:p>
      <w:pPr>
        <w:pStyle w:val="Heading2"/>
      </w:pPr>
      <w:r>
        <w:rPr>
          <w:rFonts w:ascii="Arial Unicode MS" w:hAnsi="Arial Unicode MS" w:eastAsia="Arial Unicode MS" w:cs="Arial Unicode MS"/>
          <w:b w:val="0"/>
          <w:i w:val="0"/>
        </w:rPr>
        <w:t>第8条（リスクの把握）</w:t>
      </w:r>
    </w:p>
    <w:p>
      <w:pPr>
        <w:spacing w:before="0" w:after="120" w:line="264" w:lineRule="auto"/>
      </w:pPr>
      <w:r>
        <w:rPr>
          <w:rFonts w:ascii="Arial Unicode MS" w:hAnsi="Arial Unicode MS" w:eastAsia="Arial Unicode MS" w:cs="Arial Unicode MS"/>
          <w:b w:val="0"/>
          <w:i w:val="0"/>
        </w:rPr>
        <w:t>管理部は、各部門と連携し、当社の主要リスクを定期的に把握する。</w:t>
      </w:r>
    </w:p>
    <w:p>
      <w:pPr>
        <w:pStyle w:val="ListNumber"/>
        <w:spacing w:before="0" w:after="160" w:line="280" w:lineRule="auto"/>
        <w:ind w:left="720" w:hanging="360"/>
      </w:pPr>
      <w:r>
        <w:rPr>
          <w:rFonts w:ascii="Arial Unicode MS" w:hAnsi="Arial Unicode MS" w:eastAsia="Arial Unicode MS" w:cs="Arial Unicode MS"/>
          <w:b w:val="0"/>
          <w:i w:val="0"/>
        </w:rPr>
        <w:t>新規事業、新サービス、重要な契約、システム導入、外注開始、資金調達、組織変更、法令改正、重大インシデント発生その他重要な変化がある場合、管理部及び担当部門は必要に応じてリスクを把握し、評価する。</w:t>
      </w:r>
    </w:p>
    <w:p>
      <w:pPr>
        <w:pStyle w:val="Heading2"/>
      </w:pPr>
      <w:r>
        <w:rPr>
          <w:rFonts w:ascii="Arial Unicode MS" w:hAnsi="Arial Unicode MS" w:eastAsia="Arial Unicode MS" w:cs="Arial Unicode MS"/>
          <w:b w:val="0"/>
          <w:i w:val="0"/>
        </w:rPr>
        <w:t>第9条（主要リスク）</w:t>
      </w:r>
    </w:p>
    <w:p>
      <w:pPr>
        <w:spacing w:before="0" w:after="120" w:line="264" w:lineRule="auto"/>
      </w:pPr>
      <w:r>
        <w:rPr>
          <w:rFonts w:ascii="Arial Unicode MS" w:hAnsi="Arial Unicode MS" w:eastAsia="Arial Unicode MS" w:cs="Arial Unicode MS"/>
          <w:b w:val="0"/>
          <w:i w:val="0"/>
        </w:rPr>
        <w:t>当社の主要リスクには、次の事項を含む。</w:t>
      </w:r>
    </w:p>
    <w:p>
      <w:pPr>
        <w:pStyle w:val="ListNumber"/>
        <w:spacing w:before="0" w:after="160" w:line="280" w:lineRule="auto"/>
        <w:ind w:left="720" w:hanging="360"/>
      </w:pPr>
      <w:r>
        <w:rPr>
          <w:rFonts w:ascii="Arial Unicode MS" w:hAnsi="Arial Unicode MS" w:eastAsia="Arial Unicode MS" w:cs="Arial Unicode MS"/>
          <w:b w:val="0"/>
          <w:i w:val="0"/>
        </w:rPr>
        <w:t>上場準備及び内部管理体制に関するリスク</w:t>
      </w:r>
    </w:p>
    <w:p>
      <w:pPr>
        <w:pStyle w:val="ListNumber"/>
        <w:spacing w:before="0" w:after="160" w:line="280" w:lineRule="auto"/>
        <w:ind w:left="720" w:hanging="360"/>
      </w:pPr>
      <w:r>
        <w:rPr>
          <w:rFonts w:ascii="Arial Unicode MS" w:hAnsi="Arial Unicode MS" w:eastAsia="Arial Unicode MS" w:cs="Arial Unicode MS"/>
          <w:b w:val="0"/>
          <w:i w:val="0"/>
        </w:rPr>
        <w:t>法令違反、規程違反及び契約違反リスク</w:t>
      </w:r>
    </w:p>
    <w:p>
      <w:pPr>
        <w:pStyle w:val="ListNumber"/>
        <w:spacing w:before="0" w:after="160" w:line="280" w:lineRule="auto"/>
        <w:ind w:left="720" w:hanging="360"/>
      </w:pPr>
      <w:r>
        <w:rPr>
          <w:rFonts w:ascii="Arial Unicode MS" w:hAnsi="Arial Unicode MS" w:eastAsia="Arial Unicode MS" w:cs="Arial Unicode MS"/>
          <w:b w:val="0"/>
          <w:i w:val="0"/>
        </w:rPr>
        <w:t>反社会的勢力との関係リスク</w:t>
      </w:r>
    </w:p>
    <w:p>
      <w:pPr>
        <w:pStyle w:val="ListNumber"/>
        <w:spacing w:before="0" w:after="160" w:line="280" w:lineRule="auto"/>
        <w:ind w:left="720" w:hanging="360"/>
      </w:pPr>
      <w:r>
        <w:rPr>
          <w:rFonts w:ascii="Arial Unicode MS" w:hAnsi="Arial Unicode MS" w:eastAsia="Arial Unicode MS" w:cs="Arial Unicode MS"/>
          <w:b w:val="0"/>
          <w:i w:val="0"/>
        </w:rPr>
        <w:t>関連当事者取引、利益相反及び競業に関するリスク</w:t>
      </w:r>
    </w:p>
    <w:p>
      <w:pPr>
        <w:pStyle w:val="ListNumber"/>
        <w:spacing w:before="0" w:after="160" w:line="280" w:lineRule="auto"/>
        <w:ind w:left="720" w:hanging="360"/>
      </w:pPr>
      <w:r>
        <w:rPr>
          <w:rFonts w:ascii="Arial Unicode MS" w:hAnsi="Arial Unicode MS" w:eastAsia="Arial Unicode MS" w:cs="Arial Unicode MS"/>
          <w:b w:val="0"/>
          <w:i w:val="0"/>
        </w:rPr>
        <w:t>個人情報及び情報セキュリティリスク</w:t>
      </w:r>
    </w:p>
    <w:p>
      <w:pPr>
        <w:pStyle w:val="ListNumber"/>
        <w:spacing w:before="0" w:after="160" w:line="280" w:lineRule="auto"/>
        <w:ind w:left="720" w:hanging="360"/>
      </w:pPr>
      <w:r>
        <w:rPr>
          <w:rFonts w:ascii="Arial Unicode MS" w:hAnsi="Arial Unicode MS" w:eastAsia="Arial Unicode MS" w:cs="Arial Unicode MS"/>
          <w:b w:val="0"/>
          <w:i w:val="0"/>
        </w:rPr>
        <w:t>AIサービス利用、AI出力、AI受託開発、SaaS及び開発に関するリスク</w:t>
      </w:r>
    </w:p>
    <w:p>
      <w:pPr>
        <w:pStyle w:val="ListNumber"/>
        <w:spacing w:before="0" w:after="160" w:line="280" w:lineRule="auto"/>
        <w:ind w:left="720" w:hanging="360"/>
      </w:pPr>
      <w:r>
        <w:rPr>
          <w:rFonts w:ascii="Arial Unicode MS" w:hAnsi="Arial Unicode MS" w:eastAsia="Arial Unicode MS" w:cs="Arial Unicode MS"/>
          <w:b w:val="0"/>
          <w:i w:val="0"/>
        </w:rPr>
        <w:t>契約、販売、購買、外注、知的財産及び秘密情報に関するリスク</w:t>
      </w:r>
    </w:p>
    <w:p>
      <w:pPr>
        <w:pStyle w:val="ListNumber"/>
        <w:spacing w:before="0" w:after="160" w:line="280" w:lineRule="auto"/>
        <w:ind w:left="720" w:hanging="360"/>
      </w:pPr>
      <w:r>
        <w:rPr>
          <w:rFonts w:ascii="Arial Unicode MS" w:hAnsi="Arial Unicode MS" w:eastAsia="Arial Unicode MS" w:cs="Arial Unicode MS"/>
          <w:b w:val="0"/>
          <w:i w:val="0"/>
        </w:rPr>
        <w:t>売上、未入金、与信、資金繰り、会計及び税務に関するリスク</w:t>
      </w:r>
    </w:p>
    <w:p>
      <w:pPr>
        <w:pStyle w:val="ListNumber"/>
        <w:spacing w:before="0" w:after="160" w:line="280" w:lineRule="auto"/>
        <w:ind w:left="720" w:hanging="360"/>
      </w:pPr>
      <w:r>
        <w:rPr>
          <w:rFonts w:ascii="Arial Unicode MS" w:hAnsi="Arial Unicode MS" w:eastAsia="Arial Unicode MS" w:cs="Arial Unicode MS"/>
          <w:b w:val="0"/>
          <w:i w:val="0"/>
        </w:rPr>
        <w:t>労務、人事、ハラスメント、採用及び退職に関するリスク</w:t>
      </w:r>
    </w:p>
    <w:p>
      <w:pPr>
        <w:pStyle w:val="ListNumber"/>
        <w:spacing w:before="0" w:after="160" w:line="280" w:lineRule="auto"/>
        <w:ind w:left="720" w:hanging="360"/>
      </w:pPr>
      <w:r>
        <w:rPr>
          <w:rFonts w:ascii="Arial Unicode MS" w:hAnsi="Arial Unicode MS" w:eastAsia="Arial Unicode MS" w:cs="Arial Unicode MS"/>
          <w:b w:val="0"/>
          <w:i w:val="0"/>
        </w:rPr>
        <w:t>クレーム、事故、品質、研修運営及び顧客対応に関するリスク</w:t>
      </w:r>
    </w:p>
    <w:p>
      <w:pPr>
        <w:pStyle w:val="ListNumber"/>
        <w:spacing w:before="0" w:after="160" w:line="280" w:lineRule="auto"/>
        <w:ind w:left="720" w:hanging="360"/>
      </w:pPr>
      <w:r>
        <w:rPr>
          <w:rFonts w:ascii="Arial Unicode MS" w:hAnsi="Arial Unicode MS" w:eastAsia="Arial Unicode MS" w:cs="Arial Unicode MS"/>
          <w:b w:val="0"/>
          <w:i w:val="0"/>
        </w:rPr>
        <w:t>システム障害、事業継続、データ消失及びアカウント管理に関するリスク</w:t>
      </w:r>
    </w:p>
    <w:p>
      <w:pPr>
        <w:pStyle w:val="ListNumber"/>
        <w:spacing w:before="0" w:after="160" w:line="280" w:lineRule="auto"/>
        <w:ind w:left="720" w:hanging="360"/>
      </w:pPr>
      <w:r>
        <w:rPr>
          <w:rFonts w:ascii="Arial Unicode MS" w:hAnsi="Arial Unicode MS" w:eastAsia="Arial Unicode MS" w:cs="Arial Unicode MS"/>
          <w:b w:val="0"/>
          <w:i w:val="0"/>
        </w:rPr>
        <w:t>レピュテーション、SNS、広報及びブランドに関するリスク</w:t>
      </w:r>
    </w:p>
    <w:p>
      <w:pPr>
        <w:pStyle w:val="ListNumber"/>
        <w:spacing w:before="0" w:after="160" w:line="280" w:lineRule="auto"/>
        <w:ind w:left="720" w:hanging="360"/>
      </w:pPr>
      <w:r>
        <w:rPr>
          <w:rFonts w:ascii="Arial Unicode MS" w:hAnsi="Arial Unicode MS" w:eastAsia="Arial Unicode MS" w:cs="Arial Unicode MS"/>
          <w:b w:val="0"/>
          <w:i w:val="0"/>
        </w:rPr>
        <w:t>その他会社が重要と認めるリスク</w:t>
      </w:r>
    </w:p>
    <w:p>
      <w:pPr>
        <w:pStyle w:val="Heading2"/>
      </w:pPr>
      <w:r>
        <w:rPr>
          <w:rFonts w:ascii="Arial Unicode MS" w:hAnsi="Arial Unicode MS" w:eastAsia="Arial Unicode MS" w:cs="Arial Unicode MS"/>
          <w:b w:val="0"/>
          <w:i w:val="0"/>
        </w:rPr>
        <w:t>第10条（リスク評価）</w:t>
      </w:r>
    </w:p>
    <w:p>
      <w:pPr>
        <w:spacing w:before="0" w:after="120" w:line="264" w:lineRule="auto"/>
      </w:pPr>
      <w:r>
        <w:rPr>
          <w:rFonts w:ascii="Arial Unicode MS" w:hAnsi="Arial Unicode MS" w:eastAsia="Arial Unicode MS" w:cs="Arial Unicode MS"/>
          <w:b w:val="0"/>
          <w:i w:val="0"/>
        </w:rPr>
        <w:t>管理部は、リスクの発生可能性、影響度、緊急性、発見可能性、対応状況及び上場準備への影響を踏まえてリスクを評価する。</w:t>
      </w:r>
    </w:p>
    <w:p>
      <w:pPr>
        <w:pStyle w:val="ListNumber"/>
        <w:spacing w:before="0" w:after="160" w:line="280" w:lineRule="auto"/>
        <w:ind w:left="720" w:hanging="360"/>
      </w:pPr>
      <w:r>
        <w:rPr>
          <w:rFonts w:ascii="Arial Unicode MS" w:hAnsi="Arial Unicode MS" w:eastAsia="Arial Unicode MS" w:cs="Arial Unicode MS"/>
          <w:b w:val="0"/>
          <w:i w:val="0"/>
        </w:rPr>
        <w:t>管理部は、必要に応じてリスク管理表を作成し、リスクの内容、所管部門、評価、対応策、期限、責任者及び対応状況を記録する。</w:t>
      </w:r>
    </w:p>
    <w:p>
      <w:pPr>
        <w:pStyle w:val="Heading2"/>
      </w:pPr>
      <w:r>
        <w:rPr>
          <w:rFonts w:ascii="Arial Unicode MS" w:hAnsi="Arial Unicode MS" w:eastAsia="Arial Unicode MS" w:cs="Arial Unicode MS"/>
          <w:b w:val="0"/>
          <w:i w:val="0"/>
        </w:rPr>
        <w:t>第11条（リスク対応）</w:t>
      </w:r>
    </w:p>
    <w:p>
      <w:pPr>
        <w:spacing w:before="0" w:after="120" w:line="264" w:lineRule="auto"/>
      </w:pPr>
      <w:r>
        <w:rPr>
          <w:rFonts w:ascii="Arial Unicode MS" w:hAnsi="Arial Unicode MS" w:eastAsia="Arial Unicode MS" w:cs="Arial Unicode MS"/>
          <w:b w:val="0"/>
          <w:i w:val="0"/>
        </w:rPr>
        <w:t>管理部及び各部門は、リスク評価の結果に応じて、回避、低減、移転、受容その他適切な対応策を検討し、実施する。</w:t>
      </w:r>
    </w:p>
    <w:p>
      <w:pPr>
        <w:pStyle w:val="ListNumber"/>
        <w:spacing w:before="0" w:after="160" w:line="280" w:lineRule="auto"/>
        <w:ind w:left="720" w:hanging="360"/>
      </w:pPr>
      <w:r>
        <w:rPr>
          <w:rFonts w:ascii="Arial Unicode MS" w:hAnsi="Arial Unicode MS" w:eastAsia="Arial Unicode MS" w:cs="Arial Unicode MS"/>
          <w:b w:val="0"/>
          <w:i w:val="0"/>
        </w:rPr>
        <w:t>重大リスクへの対応策は、リスク・コンプライアンス管理責任者の確認を受け、必要に応じて経営会議又は取締役会に報告又は付議する。</w:t>
      </w:r>
    </w:p>
    <w:p>
      <w:pPr>
        <w:pStyle w:val="Heading1"/>
      </w:pPr>
      <w:r>
        <w:rPr>
          <w:rFonts w:ascii="Arial Unicode MS" w:hAnsi="Arial Unicode MS" w:eastAsia="Arial Unicode MS" w:cs="Arial Unicode MS"/>
          <w:b w:val="0"/>
          <w:i w:val="0"/>
        </w:rPr>
        <w:t>第4章 コンプライアンス管理</w:t>
      </w:r>
    </w:p>
    <w:p>
      <w:pPr>
        <w:pStyle w:val="Heading2"/>
      </w:pPr>
      <w:r>
        <w:rPr>
          <w:rFonts w:ascii="Arial Unicode MS" w:hAnsi="Arial Unicode MS" w:eastAsia="Arial Unicode MS" w:cs="Arial Unicode MS"/>
          <w:b w:val="0"/>
          <w:i w:val="0"/>
        </w:rPr>
        <w:t>第12条（遵守事項）</w:t>
      </w:r>
    </w:p>
    <w:p>
      <w:pPr>
        <w:spacing w:before="0" w:after="120" w:line="264" w:lineRule="auto"/>
      </w:pPr>
      <w:r>
        <w:rPr>
          <w:rFonts w:ascii="Arial Unicode MS" w:hAnsi="Arial Unicode MS" w:eastAsia="Arial Unicode MS" w:cs="Arial Unicode MS"/>
          <w:b w:val="0"/>
          <w:i w:val="0"/>
        </w:rPr>
        <w:t>役職員等は、法令、定款、社内規程、契約、社会規範、企業倫理及び当社が定める行動基準を遵守しなければならない。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役職員等は、次の各号に掲げる行為を行ってはならない。</w:t>
      </w:r>
    </w:p>
    <w:p>
      <w:pPr>
        <w:pStyle w:val="ListNumber"/>
        <w:spacing w:before="0" w:after="160" w:line="280" w:lineRule="auto"/>
        <w:ind w:left="720" w:hanging="360"/>
      </w:pPr>
      <w:r>
        <w:rPr>
          <w:rFonts w:ascii="Arial Unicode MS" w:hAnsi="Arial Unicode MS" w:eastAsia="Arial Unicode MS" w:cs="Arial Unicode MS"/>
          <w:b w:val="0"/>
          <w:i w:val="0"/>
        </w:rPr>
        <w:t>法令、定款、社内規程又は契約に違反する行為</w:t>
      </w:r>
    </w:p>
    <w:p>
      <w:pPr>
        <w:pStyle w:val="ListNumber"/>
        <w:spacing w:before="0" w:after="160" w:line="280" w:lineRule="auto"/>
        <w:ind w:left="720" w:hanging="360"/>
      </w:pPr>
      <w:r>
        <w:rPr>
          <w:rFonts w:ascii="Arial Unicode MS" w:hAnsi="Arial Unicode MS" w:eastAsia="Arial Unicode MS" w:cs="Arial Unicode MS"/>
          <w:b w:val="0"/>
          <w:i w:val="0"/>
        </w:rPr>
        <w:t>不正会計、横領、背任、贈収賄、利益相反、反社会的勢力との関係その他不正又は不適切な行為</w:t>
      </w:r>
    </w:p>
    <w:p>
      <w:pPr>
        <w:pStyle w:val="ListNumber"/>
        <w:spacing w:before="0" w:after="160" w:line="280" w:lineRule="auto"/>
        <w:ind w:left="720" w:hanging="360"/>
      </w:pPr>
      <w:r>
        <w:rPr>
          <w:rFonts w:ascii="Arial Unicode MS" w:hAnsi="Arial Unicode MS" w:eastAsia="Arial Unicode MS" w:cs="Arial Unicode MS"/>
          <w:b w:val="0"/>
          <w:i w:val="0"/>
        </w:rPr>
        <w:t>個人情報、顧客情報、秘密情報、ソースコード、認証情報その他情報資産の不適切な取扱い</w:t>
      </w:r>
    </w:p>
    <w:p>
      <w:pPr>
        <w:pStyle w:val="ListNumber"/>
        <w:spacing w:before="0" w:after="160" w:line="280" w:lineRule="auto"/>
        <w:ind w:left="720" w:hanging="360"/>
      </w:pPr>
      <w:r>
        <w:rPr>
          <w:rFonts w:ascii="Arial Unicode MS" w:hAnsi="Arial Unicode MS" w:eastAsia="Arial Unicode MS" w:cs="Arial Unicode MS"/>
          <w:b w:val="0"/>
          <w:i w:val="0"/>
        </w:rPr>
        <w:t>ハラスメント、差別、不当な労務管理その他人権又は労務上不適切な行為</w:t>
      </w:r>
    </w:p>
    <w:p>
      <w:pPr>
        <w:pStyle w:val="ListNumber"/>
        <w:spacing w:before="0" w:after="160" w:line="280" w:lineRule="auto"/>
        <w:ind w:left="720" w:hanging="360"/>
      </w:pPr>
      <w:r>
        <w:rPr>
          <w:rFonts w:ascii="Arial Unicode MS" w:hAnsi="Arial Unicode MS" w:eastAsia="Arial Unicode MS" w:cs="Arial Unicode MS"/>
          <w:b w:val="0"/>
          <w:i w:val="0"/>
        </w:rPr>
        <w:t>顧客、取引先、外注先、株主、役職員その他関係者の信用を不当に害する行為</w:t>
      </w:r>
    </w:p>
    <w:p>
      <w:pPr>
        <w:pStyle w:val="ListNumber"/>
        <w:spacing w:before="0" w:after="160" w:line="280" w:lineRule="auto"/>
        <w:ind w:left="720" w:hanging="360"/>
      </w:pPr>
      <w:r>
        <w:rPr>
          <w:rFonts w:ascii="Arial Unicode MS" w:hAnsi="Arial Unicode MS" w:eastAsia="Arial Unicode MS" w:cs="Arial Unicode MS"/>
          <w:b w:val="0"/>
          <w:i w:val="0"/>
        </w:rPr>
        <w:t>上場準備上の内部管理体制、開示、会計、監査又は審査に支障を生じさせる行為</w:t>
      </w:r>
    </w:p>
    <w:p>
      <w:pPr>
        <w:pStyle w:val="Heading2"/>
      </w:pPr>
      <w:r>
        <w:rPr>
          <w:rFonts w:ascii="Arial Unicode MS" w:hAnsi="Arial Unicode MS" w:eastAsia="Arial Unicode MS" w:cs="Arial Unicode MS"/>
          <w:b w:val="0"/>
          <w:i w:val="0"/>
        </w:rPr>
        <w:t>第13条（違反又は疑義の報告）</w:t>
      </w:r>
    </w:p>
    <w:p>
      <w:pPr>
        <w:spacing w:before="0" w:after="120" w:line="264" w:lineRule="auto"/>
      </w:pPr>
      <w:r>
        <w:rPr>
          <w:rFonts w:ascii="Arial Unicode MS" w:hAnsi="Arial Unicode MS" w:eastAsia="Arial Unicode MS" w:cs="Arial Unicode MS"/>
          <w:b w:val="0"/>
          <w:i w:val="0"/>
        </w:rPr>
        <w:t>法令違反、規程違反、不正、不祥事、ハラスメント、情報漏えい、重大クレームその他コンプライアンス上の問題又はそのおそれを発見した者は、速やかに管理部、上長、リスク・コンプライアンス管理責任者又は内部通報窓口へ報告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内部通報制度に関する事項は、内部通報ポリシーに従う。</w:t>
      </w:r>
    </w:p>
    <w:p>
      <w:pPr>
        <w:pStyle w:val="Heading2"/>
      </w:pPr>
      <w:r>
        <w:rPr>
          <w:rFonts w:ascii="Arial Unicode MS" w:hAnsi="Arial Unicode MS" w:eastAsia="Arial Unicode MS" w:cs="Arial Unicode MS"/>
          <w:b w:val="0"/>
          <w:i w:val="0"/>
        </w:rPr>
        <w:t>第14条（調査及び是正）</w:t>
      </w:r>
    </w:p>
    <w:p>
      <w:pPr>
        <w:spacing w:before="0" w:after="120" w:line="264" w:lineRule="auto"/>
      </w:pPr>
      <w:r>
        <w:rPr>
          <w:rFonts w:ascii="Arial Unicode MS" w:hAnsi="Arial Unicode MS" w:eastAsia="Arial Unicode MS" w:cs="Arial Unicode MS"/>
          <w:b w:val="0"/>
          <w:i w:val="0"/>
        </w:rPr>
        <w:t>管理部又はリスク・コンプライアンス管理責任者は、違反又はそのおそれの報告を受けた場合、関係部門、内部監査責任者、監査役、外部専門家その他必要な者と連携し、事実関係を確認する。</w:t>
      </w:r>
    </w:p>
    <w:p>
      <w:pPr>
        <w:pStyle w:val="ListNumber"/>
        <w:spacing w:before="0" w:after="160" w:line="280" w:lineRule="auto"/>
        <w:ind w:left="720" w:hanging="360"/>
      </w:pPr>
      <w:r>
        <w:rPr>
          <w:rFonts w:ascii="Arial Unicode MS" w:hAnsi="Arial Unicode MS" w:eastAsia="Arial Unicode MS" w:cs="Arial Unicode MS"/>
          <w:b w:val="0"/>
          <w:i w:val="0"/>
        </w:rPr>
        <w:t>調査の結果、問題が認められた場合、当社は、必要な是正措置、再発防止策、関係者への処分、契約上の対応、顧客又は関係機関への報告その他適切な対応を行う。</w:t>
      </w:r>
    </w:p>
    <w:p>
      <w:pPr>
        <w:pStyle w:val="ListNumber"/>
        <w:spacing w:before="0" w:after="160" w:line="280" w:lineRule="auto"/>
        <w:ind w:left="720" w:hanging="360"/>
      </w:pPr>
      <w:r>
        <w:rPr>
          <w:rFonts w:ascii="Arial Unicode MS" w:hAnsi="Arial Unicode MS" w:eastAsia="Arial Unicode MS" w:cs="Arial Unicode MS"/>
          <w:b w:val="0"/>
          <w:i w:val="0"/>
        </w:rPr>
        <w:t>調査及び是正にあたっては、通報者保護、個人情報保護、秘密保持及び利益相反排除に留意する。</w:t>
      </w:r>
    </w:p>
    <w:p>
      <w:pPr>
        <w:pStyle w:val="Heading1"/>
      </w:pPr>
      <w:r>
        <w:rPr>
          <w:rFonts w:ascii="Arial Unicode MS" w:hAnsi="Arial Unicode MS" w:eastAsia="Arial Unicode MS" w:cs="Arial Unicode MS"/>
          <w:b w:val="0"/>
          <w:i w:val="0"/>
        </w:rPr>
        <w:t>第5章 報告</w:t>
      </w:r>
    </w:p>
    <w:p>
      <w:pPr>
        <w:pStyle w:val="Heading2"/>
      </w:pPr>
      <w:r>
        <w:rPr>
          <w:rFonts w:ascii="Arial Unicode MS" w:hAnsi="Arial Unicode MS" w:eastAsia="Arial Unicode MS" w:cs="Arial Unicode MS"/>
          <w:b w:val="0"/>
          <w:i w:val="0"/>
        </w:rPr>
        <w:t>第15条（経営会議への報告）</w:t>
      </w:r>
    </w:p>
    <w:p>
      <w:pPr>
        <w:spacing w:before="0" w:after="120" w:line="264" w:lineRule="auto"/>
      </w:pPr>
      <w:r>
        <w:rPr>
          <w:rFonts w:ascii="Arial Unicode MS" w:hAnsi="Arial Unicode MS" w:eastAsia="Arial Unicode MS" w:cs="Arial Unicode MS"/>
          <w:b w:val="0"/>
          <w:i w:val="0"/>
        </w:rPr>
        <w:t>管理部は、リスク・コンプライアンスの管理状況、重大リスク、法令違反、規程違反、不祥事、クレーム、情報セキュリティインシデント、個人情報漏えい等、反社チェック状況、関連当事者取引、内部通報、内部監査指摘その他重要事項を、必要に応じて経営会議に報告する。</w:t>
      </w:r>
    </w:p>
    <w:p>
      <w:pPr>
        <w:pStyle w:val="Heading2"/>
      </w:pPr>
      <w:r>
        <w:rPr>
          <w:rFonts w:ascii="Arial Unicode MS" w:hAnsi="Arial Unicode MS" w:eastAsia="Arial Unicode MS" w:cs="Arial Unicode MS"/>
          <w:b w:val="0"/>
          <w:i w:val="0"/>
        </w:rPr>
        <w:t>第16条（取締役会への報告）</w:t>
      </w:r>
    </w:p>
    <w:p>
      <w:pPr>
        <w:spacing w:before="0" w:after="120" w:line="264" w:lineRule="auto"/>
      </w:pPr>
      <w:r>
        <w:rPr>
          <w:rFonts w:ascii="Arial Unicode MS" w:hAnsi="Arial Unicode MS" w:eastAsia="Arial Unicode MS" w:cs="Arial Unicode MS"/>
          <w:b w:val="0"/>
          <w:i w:val="0"/>
        </w:rPr>
        <w:t>会社に重大な影響を与えるリスク、法令違反、不正、不祥事、情報漏えい、重大クレーム、重大なシステム障害、関連当事者取引の重要不備、上場準備上重要な内部管理体制の不備その他重要事項は、取締役会に報告又は付議する。</w:t>
      </w:r>
    </w:p>
    <w:p>
      <w:pPr>
        <w:pStyle w:val="ListNumber"/>
        <w:spacing w:before="0" w:after="160" w:line="280" w:lineRule="auto"/>
        <w:ind w:left="720" w:hanging="360"/>
      </w:pPr>
      <w:r>
        <w:rPr>
          <w:rFonts w:ascii="Arial Unicode MS" w:hAnsi="Arial Unicode MS" w:eastAsia="Arial Unicode MS" w:cs="Arial Unicode MS"/>
          <w:b w:val="0"/>
          <w:i w:val="0"/>
        </w:rPr>
        <w:t>取締役会への報告又は付議資料には、事実関係、影響範囲、原因、対応方針、再発防止策、担当責任者、期限及び外部報告の要否を記載する。</w:t>
      </w:r>
    </w:p>
    <w:p>
      <w:pPr>
        <w:pStyle w:val="Heading1"/>
      </w:pPr>
      <w:r>
        <w:rPr>
          <w:rFonts w:ascii="Arial Unicode MS" w:hAnsi="Arial Unicode MS" w:eastAsia="Arial Unicode MS" w:cs="Arial Unicode MS"/>
          <w:b w:val="0"/>
          <w:i w:val="0"/>
        </w:rPr>
        <w:t>第6章 教育及び点検</w:t>
      </w:r>
    </w:p>
    <w:p>
      <w:pPr>
        <w:pStyle w:val="Heading2"/>
      </w:pPr>
      <w:r>
        <w:rPr>
          <w:rFonts w:ascii="Arial Unicode MS" w:hAnsi="Arial Unicode MS" w:eastAsia="Arial Unicode MS" w:cs="Arial Unicode MS"/>
          <w:b w:val="0"/>
          <w:i w:val="0"/>
        </w:rPr>
        <w:t>第17条（教育・研修）</w:t>
      </w:r>
    </w:p>
    <w:p>
      <w:pPr>
        <w:spacing w:before="0" w:after="120" w:line="264" w:lineRule="auto"/>
      </w:pPr>
      <w:r>
        <w:rPr>
          <w:rFonts w:ascii="Arial Unicode MS" w:hAnsi="Arial Unicode MS" w:eastAsia="Arial Unicode MS" w:cs="Arial Unicode MS"/>
          <w:b w:val="0"/>
          <w:i w:val="0"/>
        </w:rPr>
        <w:t>管理部又はリスク・コンプライアンス管理責任者が指名する担当者は、役職員等に対し、コンプライアンス、情報セキュリティ、個人情報保護、反社会的勢力対応、内部通報、ハラスメント防止、AI利用その他必要な教育及び周知を行う。</w:t>
      </w:r>
    </w:p>
    <w:p>
      <w:pPr>
        <w:pStyle w:val="ListNumber"/>
        <w:spacing w:before="0" w:after="160" w:line="280" w:lineRule="auto"/>
        <w:ind w:left="720" w:hanging="360"/>
      </w:pPr>
      <w:r>
        <w:rPr>
          <w:rFonts w:ascii="Arial Unicode MS" w:hAnsi="Arial Unicode MS" w:eastAsia="Arial Unicode MS" w:cs="Arial Unicode MS"/>
          <w:b w:val="0"/>
          <w:i w:val="0"/>
        </w:rPr>
        <w:t>初期運用では、入社時、業務委託開始時及び少なくとも年1回、コンプライアンス教育又は周知を実施する。</w:t>
      </w:r>
    </w:p>
    <w:p>
      <w:pPr>
        <w:pStyle w:val="ListNumber"/>
        <w:spacing w:before="0" w:after="160" w:line="280" w:lineRule="auto"/>
        <w:ind w:left="720" w:hanging="360"/>
      </w:pPr>
      <w:r>
        <w:rPr>
          <w:rFonts w:ascii="Arial Unicode MS" w:hAnsi="Arial Unicode MS" w:eastAsia="Arial Unicode MS" w:cs="Arial Unicode MS"/>
          <w:b w:val="0"/>
          <w:i w:val="0"/>
        </w:rPr>
        <w:t>教育及び周知の実施内容、対象者、実施日及び受講状況は、管理部が記録する。</w:t>
      </w:r>
    </w:p>
    <w:p>
      <w:pPr>
        <w:pStyle w:val="Heading2"/>
      </w:pPr>
      <w:r>
        <w:rPr>
          <w:rFonts w:ascii="Arial Unicode MS" w:hAnsi="Arial Unicode MS" w:eastAsia="Arial Unicode MS" w:cs="Arial Unicode MS"/>
          <w:b w:val="0"/>
          <w:i w:val="0"/>
        </w:rPr>
        <w:t>第18条（定期点検）</w:t>
      </w:r>
    </w:p>
    <w:p>
      <w:pPr>
        <w:spacing w:before="0" w:after="120" w:line="264" w:lineRule="auto"/>
      </w:pPr>
      <w:r>
        <w:rPr>
          <w:rFonts w:ascii="Arial Unicode MS" w:hAnsi="Arial Unicode MS" w:eastAsia="Arial Unicode MS" w:cs="Arial Unicode MS"/>
          <w:b w:val="0"/>
          <w:i w:val="0"/>
        </w:rPr>
        <w:t>管理部は、少なくとも年1回、リスク・コンプライアンス管理の状況、主要リスク、内部通報、クレーム、情報セキュリティ、個人情報保護、反社会的勢力対応、関連当事者取引、教育実施状況及び是正措置の状況を点検する。</w:t>
      </w:r>
    </w:p>
    <w:p>
      <w:pPr>
        <w:pStyle w:val="ListNumber"/>
        <w:spacing w:before="0" w:after="160" w:line="280" w:lineRule="auto"/>
        <w:ind w:left="720" w:hanging="360"/>
      </w:pPr>
      <w:r>
        <w:rPr>
          <w:rFonts w:ascii="Arial Unicode MS" w:hAnsi="Arial Unicode MS" w:eastAsia="Arial Unicode MS" w:cs="Arial Unicode MS"/>
          <w:b w:val="0"/>
          <w:i w:val="0"/>
        </w:rPr>
        <w:t>内部監査責任者は、内部監査規程及び内部監査計画に従い、リスク・コンプライアンス管理の整備及び運用状況を監査する。</w:t>
      </w:r>
    </w:p>
    <w:p>
      <w:pPr>
        <w:pStyle w:val="ListNumber"/>
        <w:spacing w:before="0" w:after="160" w:line="280" w:lineRule="auto"/>
        <w:ind w:left="720" w:hanging="360"/>
      </w:pPr>
      <w:r>
        <w:rPr>
          <w:rFonts w:ascii="Arial Unicode MS" w:hAnsi="Arial Unicode MS" w:eastAsia="Arial Unicode MS" w:cs="Arial Unicode MS"/>
          <w:b w:val="0"/>
          <w:i w:val="0"/>
        </w:rPr>
        <w:t>点検又は監査の結果、改善事項が判明した場合、対象部門は改善計画を作成し、必要な是正措置を講じる。</w:t>
      </w:r>
    </w:p>
    <w:p>
      <w:pPr>
        <w:pStyle w:val="Heading1"/>
      </w:pPr>
      <w:r>
        <w:rPr>
          <w:rFonts w:ascii="Arial Unicode MS" w:hAnsi="Arial Unicode MS" w:eastAsia="Arial Unicode MS" w:cs="Arial Unicode MS"/>
          <w:b w:val="0"/>
          <w:i w:val="0"/>
        </w:rPr>
        <w:t>第7章 違反時の措置</w:t>
      </w:r>
    </w:p>
    <w:p>
      <w:pPr>
        <w:pStyle w:val="Heading2"/>
      </w:pPr>
      <w:r>
        <w:rPr>
          <w:rFonts w:ascii="Arial Unicode MS" w:hAnsi="Arial Unicode MS" w:eastAsia="Arial Unicode MS" w:cs="Arial Unicode MS"/>
          <w:b w:val="0"/>
          <w:i w:val="0"/>
        </w:rPr>
        <w:t>第19条（懲戒処分等）</w:t>
      </w:r>
    </w:p>
    <w:p>
      <w:pPr>
        <w:spacing w:before="0" w:after="120" w:line="264" w:lineRule="auto"/>
      </w:pPr>
      <w:r>
        <w:rPr>
          <w:rFonts w:ascii="Arial Unicode MS" w:hAnsi="Arial Unicode MS" w:eastAsia="Arial Unicode MS" w:cs="Arial Unicode MS"/>
          <w:b w:val="0"/>
          <w:i w:val="0"/>
        </w:rPr>
        <w:t>役職員等がコンプライアンス違反を行った場合、又は本規程に定める責務を怠ったことによりコンプライアンス違反を招いた場合、当社は就業規則、契約条件その他社内規程に基づき、懲戒、是正要求、契約解除、損害賠償請求その他必要な措置を講じることがある。</w:t>
      </w:r>
    </w:p>
    <w:p>
      <w:pPr>
        <w:pStyle w:val="ListNumber"/>
        <w:spacing w:before="0" w:after="160" w:line="280" w:lineRule="auto"/>
        <w:ind w:left="720" w:hanging="360"/>
      </w:pPr>
      <w:r>
        <w:rPr>
          <w:rFonts w:ascii="Arial Unicode MS" w:hAnsi="Arial Unicode MS" w:eastAsia="Arial Unicode MS" w:cs="Arial Unicode MS"/>
          <w:b w:val="0"/>
          <w:i w:val="0"/>
        </w:rPr>
        <w:t>重大な法令違反又は刑罰法規違反となる行為が認められた場合、当社は、弁護士その他外部専門家に相談のうえ、関係当局への報告、告発その他必要な対応を検討する。</w:t>
      </w:r>
    </w:p>
    <w:p>
      <w:pPr>
        <w:pStyle w:val="Heading1"/>
      </w:pPr>
      <w:r>
        <w:rPr>
          <w:rFonts w:ascii="Arial Unicode MS" w:hAnsi="Arial Unicode MS" w:eastAsia="Arial Unicode MS" w:cs="Arial Unicode MS"/>
          <w:b w:val="0"/>
          <w:i w:val="0"/>
        </w:rPr>
        <w:t>第8章 記録及び保存</w:t>
      </w:r>
    </w:p>
    <w:p>
      <w:pPr>
        <w:pStyle w:val="Heading2"/>
      </w:pPr>
      <w:r>
        <w:rPr>
          <w:rFonts w:ascii="Arial Unicode MS" w:hAnsi="Arial Unicode MS" w:eastAsia="Arial Unicode MS" w:cs="Arial Unicode MS"/>
          <w:b w:val="0"/>
          <w:i w:val="0"/>
        </w:rPr>
        <w:t>第20条（記録）</w:t>
      </w:r>
    </w:p>
    <w:p>
      <w:pPr>
        <w:spacing w:before="0" w:after="120" w:line="264" w:lineRule="auto"/>
      </w:pPr>
      <w:r>
        <w:rPr>
          <w:rFonts w:ascii="Arial Unicode MS" w:hAnsi="Arial Unicode MS" w:eastAsia="Arial Unicode MS" w:cs="Arial Unicode MS"/>
          <w:b w:val="0"/>
          <w:i w:val="0"/>
        </w:rPr>
        <w:t>リスク管理表、リスク評価、対応策、違反報告、内部通報、調査、是正措置、再発防止策、教育記録、点検記録、内部監査記録、経営会議又は取締役会への報告資料その他リスク・コンプライアンス管理に関する資料は、管理部が保存管理する。</w:t>
      </w:r>
    </w:p>
    <w:p>
      <w:pPr>
        <w:pStyle w:val="Heading2"/>
      </w:pPr>
      <w:r>
        <w:rPr>
          <w:rFonts w:ascii="Arial Unicode MS" w:hAnsi="Arial Unicode MS" w:eastAsia="Arial Unicode MS" w:cs="Arial Unicode MS"/>
          <w:b w:val="0"/>
          <w:i w:val="0"/>
        </w:rPr>
        <w:t>第21条（保存期間）</w:t>
      </w:r>
    </w:p>
    <w:p>
      <w:pPr>
        <w:spacing w:before="0" w:after="120" w:line="264" w:lineRule="auto"/>
      </w:pPr>
      <w:r>
        <w:rPr>
          <w:rFonts w:ascii="Arial Unicode MS" w:hAnsi="Arial Unicode MS" w:eastAsia="Arial Unicode MS" w:cs="Arial Unicode MS"/>
          <w:b w:val="0"/>
          <w:i w:val="0"/>
        </w:rPr>
        <w:t>前条の資料の保存期間は、原則として10年とする。ただし、法令、契約又は他の規程によりこれを超える保存期間が定められている場合は、その定めによる。</w:t>
      </w:r>
    </w:p>
    <w:p>
      <w:pPr>
        <w:pStyle w:val="Heading1"/>
      </w:pPr>
      <w:r>
        <w:rPr>
          <w:rFonts w:ascii="Arial Unicode MS" w:hAnsi="Arial Unicode MS" w:eastAsia="Arial Unicode MS" w:cs="Arial Unicode MS"/>
          <w:b w:val="0"/>
          <w:i w:val="0"/>
        </w:rPr>
        <w:t>第9章 改廃</w:t>
      </w:r>
    </w:p>
    <w:p>
      <w:pPr>
        <w:pStyle w:val="Heading2"/>
      </w:pPr>
      <w:r>
        <w:rPr>
          <w:rFonts w:ascii="Arial Unicode MS" w:hAnsi="Arial Unicode MS" w:eastAsia="Arial Unicode MS" w:cs="Arial Unicode MS"/>
          <w:b w:val="0"/>
          <w:i w:val="0"/>
        </w:rPr>
        <w:t>第22条（改廃）</w:t>
      </w:r>
    </w:p>
    <w:p>
      <w:pPr>
        <w:spacing w:before="0" w:after="120" w:line="264" w:lineRule="auto"/>
      </w:pPr>
      <w:r>
        <w:rPr>
          <w:rFonts w:ascii="Arial Unicode MS" w:hAnsi="Arial Unicode MS" w:eastAsia="Arial Unicode MS" w:cs="Arial Unicode MS"/>
          <w:b w:val="0"/>
          <w:i w:val="0"/>
        </w:rPr>
        <w:t>本規程の改廃は、規程管理規程に従い、取締役会の決議により行う。</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リスク・コンプライアンス管理責任者を代表取締役社長、管理部責任者又は別担当者のいずれにするか確認する。</w:t>
      </w:r>
    </w:p>
    <w:p>
      <w:pPr>
        <w:pStyle w:val="ListBullet"/>
        <w:spacing w:before="0" w:after="160" w:line="280" w:lineRule="auto"/>
        <w:ind w:left="720" w:hanging="360"/>
      </w:pPr>
      <w:r>
        <w:rPr>
          <w:rFonts w:ascii="Arial Unicode MS" w:hAnsi="Arial Unicode MS" w:eastAsia="Arial Unicode MS" w:cs="Arial Unicode MS"/>
          <w:b w:val="0"/>
          <w:i w:val="0"/>
        </w:rPr>
        <w:t>経営会議で月次又は四半期ごとに報告する項目を確認する。</w:t>
      </w:r>
    </w:p>
    <w:p>
      <w:pPr>
        <w:pStyle w:val="ListBullet"/>
        <w:spacing w:before="0" w:after="160" w:line="280" w:lineRule="auto"/>
        <w:ind w:left="720" w:hanging="360"/>
      </w:pPr>
      <w:r>
        <w:rPr>
          <w:rFonts w:ascii="Arial Unicode MS" w:hAnsi="Arial Unicode MS" w:eastAsia="Arial Unicode MS" w:cs="Arial Unicode MS"/>
          <w:b w:val="0"/>
          <w:i w:val="0"/>
        </w:rPr>
        <w:t>重大リスクの取締役会報告基準を確認する。</w:t>
      </w:r>
    </w:p>
    <w:p>
      <w:pPr>
        <w:pStyle w:val="ListBullet"/>
        <w:spacing w:before="0" w:after="160" w:line="280" w:lineRule="auto"/>
        <w:ind w:left="720" w:hanging="360"/>
      </w:pPr>
      <w:r>
        <w:rPr>
          <w:rFonts w:ascii="Arial Unicode MS" w:hAnsi="Arial Unicode MS" w:eastAsia="Arial Unicode MS" w:cs="Arial Unicode MS"/>
          <w:b w:val="0"/>
          <w:i w:val="0"/>
        </w:rPr>
        <w:t>コンプライアンス教育の実施時期、対象者、記録方法を確認する。</w:t>
      </w:r>
    </w:p>
    <w:p>
      <w:pPr>
        <w:pStyle w:val="ListBullet"/>
        <w:spacing w:before="0" w:after="160" w:line="280" w:lineRule="auto"/>
        <w:ind w:left="720" w:hanging="360"/>
      </w:pPr>
      <w:r>
        <w:rPr>
          <w:rFonts w:ascii="Arial Unicode MS" w:hAnsi="Arial Unicode MS" w:eastAsia="Arial Unicode MS" w:cs="Arial Unicode MS"/>
          <w:b w:val="0"/>
          <w:i w:val="0"/>
        </w:rPr>
        <w:t>リスク管理表をNotionで開始するか、Google Sheetsで開始するか確認する。</w:t>
      </w:r>
    </w:p>
    <w:p>
      <w:pPr>
        <w:pStyle w:val="ListBullet"/>
        <w:spacing w:before="0" w:after="160" w:line="280" w:lineRule="auto"/>
        <w:ind w:left="720" w:hanging="360"/>
      </w:pPr>
      <w:r>
        <w:rPr>
          <w:rFonts w:ascii="Arial Unicode MS" w:hAnsi="Arial Unicode MS" w:eastAsia="Arial Unicode MS" w:cs="Arial Unicode MS"/>
          <w:b w:val="0"/>
          <w:i w:val="0"/>
        </w:rPr>
        <w:t>通報対応従事者の指定方法を確認する。</w:t>
      </w:r>
    </w:p>
    <w:p>
      <w:pPr>
        <w:pStyle w:val="ListBullet"/>
        <w:spacing w:before="0" w:after="160" w:line="280" w:lineRule="auto"/>
        <w:ind w:left="720" w:hanging="360"/>
      </w:pPr>
      <w:r>
        <w:rPr>
          <w:rFonts w:ascii="Arial Unicode MS" w:hAnsi="Arial Unicode MS" w:eastAsia="Arial Unicode MS" w:cs="Arial Unicode MS"/>
          <w:b w:val="0"/>
          <w:i w:val="0"/>
        </w:rPr>
        <w:t>AI利用、情報セキュリティ、個人情報、ハラスメント、反社対応の教育資料をどの順で整備するか確認する。</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リスク・コンプライアンス管理は管理部主管で設計する。</w:t>
      </w:r>
    </w:p>
    <w:p>
      <w:pPr>
        <w:pStyle w:val="ListBullet"/>
        <w:spacing w:before="0" w:after="160" w:line="280" w:lineRule="auto"/>
        <w:ind w:left="720" w:hanging="360"/>
      </w:pPr>
      <w:r>
        <w:rPr>
          <w:rFonts w:ascii="Arial Unicode MS" w:hAnsi="Arial Unicode MS" w:eastAsia="Arial Unicode MS" w:cs="Arial Unicode MS"/>
          <w:b w:val="0"/>
          <w:i w:val="0"/>
        </w:rPr>
        <w:t>当面は独立したコンプライアンス推進委員会を置かず、経営会議を推進会議として運用する。</w:t>
      </w:r>
    </w:p>
    <w:p>
      <w:pPr>
        <w:pStyle w:val="ListBullet"/>
        <w:spacing w:before="0" w:after="160" w:line="280" w:lineRule="auto"/>
        <w:ind w:left="720" w:hanging="360"/>
      </w:pPr>
      <w:r>
        <w:rPr>
          <w:rFonts w:ascii="Arial Unicode MS" w:hAnsi="Arial Unicode MS" w:eastAsia="Arial Unicode MS" w:cs="Arial Unicode MS"/>
          <w:b w:val="0"/>
          <w:i w:val="0"/>
        </w:rPr>
        <w:t>内部通報、クレーム、情報セキュリティ、個人情報保護、反社対応、関連当事者取引、内部監査と連動させる。</w:t>
      </w:r>
    </w:p>
    <w:p>
      <w:pPr>
        <w:pStyle w:val="ListBullet"/>
        <w:spacing w:before="0" w:after="160" w:line="280" w:lineRule="auto"/>
        <w:ind w:left="720" w:hanging="360"/>
      </w:pPr>
      <w:r>
        <w:rPr>
          <w:rFonts w:ascii="Arial Unicode MS" w:hAnsi="Arial Unicode MS" w:eastAsia="Arial Unicode MS" w:cs="Arial Unicode MS"/>
          <w:b w:val="0"/>
          <w:i w:val="0"/>
        </w:rPr>
        <w:t>AI研修、AI伴走、AI受託開発、SaaS等を行っているため、AI利用、情報管理、知的財産、顧客対応、開発管理を主要リスクとして扱う。</w:t>
      </w:r>
    </w:p>
    <w:p>
      <w:pPr>
        <w:pStyle w:val="ListBullet"/>
        <w:spacing w:before="0" w:after="160" w:line="280" w:lineRule="auto"/>
        <w:ind w:left="720" w:hanging="360"/>
      </w:pPr>
      <w:r>
        <w:rPr>
          <w:rFonts w:ascii="Arial Unicode MS" w:hAnsi="Arial Unicode MS" w:eastAsia="Arial Unicode MS" w:cs="Arial Unicode MS"/>
          <w:b w:val="0"/>
          <w:i w:val="0"/>
        </w:rPr>
        <w:t>内部通報の外部相談先及び反社疑義発生時の相談先は、弁護士法人Oneasiaの越路先生を前提とする。</w:t>
      </w:r>
    </w:p>
    <w:p>
      <w:pPr>
        <w:pStyle w:val="ListBullet"/>
        <w:spacing w:before="0" w:after="160" w:line="280" w:lineRule="auto"/>
        <w:ind w:left="720" w:hanging="360"/>
      </w:pPr>
      <w:r>
        <w:rPr>
          <w:rFonts w:ascii="Arial Unicode MS" w:hAnsi="Arial Unicode MS" w:eastAsia="Arial Unicode MS" w:cs="Arial Unicode MS"/>
          <w:b w:val="0"/>
          <w:i w:val="0"/>
        </w:rPr>
        <w:t>内部通報担当者は管理部とし、匿名通報を認める。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リスク・コンプライアンス管理規程（ドラフト）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リスク・コンプライアンス管理規程（ドラフト）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