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経営会議規程（ドラフト）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本規程は、株式会社MoMoの経営会議の構成、審議事項、報告事項及び運営方法を定め、経営上の重要事項について十分な検討を行い、取締役会及び代表取締役による意思決定を補佐することを目的とする。</w:t>
      </w:r>
    </w:p>
    <w:p>
      <w:pPr>
        <w:pStyle w:val="Heading2"/>
      </w:pPr>
      <w:r>
        <w:rPr>
          <w:rFonts w:ascii="Arial Unicode MS" w:hAnsi="Arial Unicode MS" w:eastAsia="Arial Unicode MS" w:cs="Arial Unicode MS"/>
          <w:b w:val="0"/>
          <w:i w:val="0"/>
        </w:rPr>
        <w:t>第2条（位置付け）</w:t>
      </w:r>
    </w:p>
    <w:p>
      <w:pPr>
        <w:spacing w:before="0" w:after="120" w:line="264" w:lineRule="auto"/>
      </w:pPr>
      <w:r>
        <w:rPr>
          <w:rFonts w:ascii="Arial Unicode MS" w:hAnsi="Arial Unicode MS" w:eastAsia="Arial Unicode MS" w:cs="Arial Unicode MS"/>
          <w:b w:val="0"/>
          <w:i w:val="0"/>
        </w:rPr>
        <w:t>経営会議は、業務執行上の重要事項を審議、協議及び報告する会議体であり、法令又は定款に基づく取締役会の権限を代替するものではない。</w:t>
      </w:r>
    </w:p>
    <w:p>
      <w:pPr>
        <w:pStyle w:val="ListNumber"/>
        <w:spacing w:before="0" w:after="160" w:line="280" w:lineRule="auto"/>
        <w:ind w:left="720" w:hanging="360"/>
      </w:pPr>
      <w:r>
        <w:rPr>
          <w:rFonts w:ascii="Arial Unicode MS" w:hAnsi="Arial Unicode MS" w:eastAsia="Arial Unicode MS" w:cs="Arial Unicode MS"/>
          <w:b w:val="0"/>
          <w:i w:val="0"/>
        </w:rPr>
        <w:t>取締役会の決議を要する事項については、経営会議での審議を経たうえで取締役会へ付議する。</w:t>
      </w:r>
    </w:p>
    <w:p>
      <w:pPr>
        <w:pStyle w:val="Heading1"/>
      </w:pPr>
      <w:r>
        <w:rPr>
          <w:rFonts w:ascii="Arial Unicode MS" w:hAnsi="Arial Unicode MS" w:eastAsia="Arial Unicode MS" w:cs="Arial Unicode MS"/>
          <w:b w:val="0"/>
          <w:i w:val="0"/>
        </w:rPr>
        <w:t>第2章 構成</w:t>
      </w:r>
    </w:p>
    <w:p>
      <w:pPr>
        <w:pStyle w:val="Heading2"/>
      </w:pPr>
      <w:r>
        <w:rPr>
          <w:rFonts w:ascii="Arial Unicode MS" w:hAnsi="Arial Unicode MS" w:eastAsia="Arial Unicode MS" w:cs="Arial Unicode MS"/>
          <w:b w:val="0"/>
          <w:i w:val="0"/>
        </w:rPr>
        <w:t>第3条（構成員）</w:t>
      </w:r>
    </w:p>
    <w:p>
      <w:pPr>
        <w:spacing w:before="0" w:after="120" w:line="264" w:lineRule="auto"/>
      </w:pPr>
      <w:r>
        <w:rPr>
          <w:rFonts w:ascii="Arial Unicode MS" w:hAnsi="Arial Unicode MS" w:eastAsia="Arial Unicode MS" w:cs="Arial Unicode MS"/>
          <w:b w:val="0"/>
          <w:i w:val="0"/>
        </w:rPr>
        <w:t>経営会議は、代表取締役社長、取締役、管理部門責任者その他代表取締役社長が指名する者をもって構成する。</w:t>
      </w:r>
    </w:p>
    <w:p>
      <w:pPr>
        <w:pStyle w:val="ListNumber"/>
        <w:spacing w:before="0" w:after="160" w:line="280" w:lineRule="auto"/>
        <w:ind w:left="720" w:hanging="360"/>
      </w:pPr>
      <w:r>
        <w:rPr>
          <w:rFonts w:ascii="Arial Unicode MS" w:hAnsi="Arial Unicode MS" w:eastAsia="Arial Unicode MS" w:cs="Arial Unicode MS"/>
          <w:b w:val="0"/>
          <w:i w:val="0"/>
        </w:rPr>
        <w:t>監査役は、必要に応じて経営会議に出席し、意見を述べることができる。</w:t>
      </w:r>
    </w:p>
    <w:p>
      <w:pPr>
        <w:pStyle w:val="Heading2"/>
      </w:pPr>
      <w:r>
        <w:rPr>
          <w:rFonts w:ascii="Arial Unicode MS" w:hAnsi="Arial Unicode MS" w:eastAsia="Arial Unicode MS" w:cs="Arial Unicode MS"/>
          <w:b w:val="0"/>
          <w:i w:val="0"/>
        </w:rPr>
        <w:t>第4条（議長）</w:t>
      </w:r>
    </w:p>
    <w:p>
      <w:pPr>
        <w:spacing w:before="0" w:after="120" w:line="264" w:lineRule="auto"/>
      </w:pPr>
      <w:r>
        <w:rPr>
          <w:rFonts w:ascii="Arial Unicode MS" w:hAnsi="Arial Unicode MS" w:eastAsia="Arial Unicode MS" w:cs="Arial Unicode MS"/>
          <w:b w:val="0"/>
          <w:i w:val="0"/>
        </w:rPr>
        <w:t>経営会議の議長は、代表取締役社長がこれにあたる。</w:t>
      </w:r>
    </w:p>
    <w:p>
      <w:pPr>
        <w:pStyle w:val="ListNumber"/>
        <w:spacing w:before="0" w:after="160" w:line="280" w:lineRule="auto"/>
        <w:ind w:left="720" w:hanging="360"/>
      </w:pPr>
      <w:r>
        <w:rPr>
          <w:rFonts w:ascii="Arial Unicode MS" w:hAnsi="Arial Unicode MS" w:eastAsia="Arial Unicode MS" w:cs="Arial Unicode MS"/>
          <w:b w:val="0"/>
          <w:i w:val="0"/>
        </w:rPr>
        <w:t>代表取締役社長に事故があるときは、あらかじめ代表取締役社長が指名した者が議長となる。</w:t>
      </w:r>
    </w:p>
    <w:p>
      <w:pPr>
        <w:pStyle w:val="Heading1"/>
      </w:pPr>
      <w:r>
        <w:rPr>
          <w:rFonts w:ascii="Arial Unicode MS" w:hAnsi="Arial Unicode MS" w:eastAsia="Arial Unicode MS" w:cs="Arial Unicode MS"/>
          <w:b w:val="0"/>
          <w:i w:val="0"/>
        </w:rPr>
        <w:t>第3章 開催</w:t>
      </w:r>
    </w:p>
    <w:p>
      <w:pPr>
        <w:pStyle w:val="Heading2"/>
      </w:pPr>
      <w:r>
        <w:rPr>
          <w:rFonts w:ascii="Arial Unicode MS" w:hAnsi="Arial Unicode MS" w:eastAsia="Arial Unicode MS" w:cs="Arial Unicode MS"/>
          <w:b w:val="0"/>
          <w:i w:val="0"/>
        </w:rPr>
        <w:t>第5条（開催頻度）</w:t>
      </w:r>
    </w:p>
    <w:p>
      <w:pPr>
        <w:spacing w:before="0" w:after="120" w:line="264" w:lineRule="auto"/>
      </w:pPr>
      <w:r>
        <w:rPr>
          <w:rFonts w:ascii="Arial Unicode MS" w:hAnsi="Arial Unicode MS" w:eastAsia="Arial Unicode MS" w:cs="Arial Unicode MS"/>
          <w:b w:val="0"/>
          <w:i w:val="0"/>
        </w:rPr>
        <w:t>経営会議は、原則として月1回開催する。</w:t>
      </w:r>
    </w:p>
    <w:p>
      <w:pPr>
        <w:pStyle w:val="ListNumber"/>
        <w:spacing w:before="0" w:after="160" w:line="280" w:lineRule="auto"/>
        <w:ind w:left="720" w:hanging="360"/>
      </w:pPr>
      <w:r>
        <w:rPr>
          <w:rFonts w:ascii="Arial Unicode MS" w:hAnsi="Arial Unicode MS" w:eastAsia="Arial Unicode MS" w:cs="Arial Unicode MS"/>
          <w:b w:val="0"/>
          <w:i w:val="0"/>
        </w:rPr>
        <w:t>必要がある場合は、臨時経営会議を随時開催することができる。</w:t>
      </w:r>
    </w:p>
    <w:p>
      <w:pPr>
        <w:pStyle w:val="ListNumber"/>
        <w:spacing w:before="0" w:after="160" w:line="280" w:lineRule="auto"/>
        <w:ind w:left="720" w:hanging="360"/>
      </w:pPr>
      <w:r>
        <w:rPr>
          <w:rFonts w:ascii="Arial Unicode MS" w:hAnsi="Arial Unicode MS" w:eastAsia="Arial Unicode MS" w:cs="Arial Unicode MS"/>
          <w:b w:val="0"/>
          <w:i w:val="0"/>
        </w:rPr>
        <w:t>月次決算及び予実管理を報告する経営会議は、原則として翌月20日以降速やかに開催する。</w:t>
      </w:r>
    </w:p>
    <w:p>
      <w:pPr>
        <w:pStyle w:val="Heading2"/>
      </w:pPr>
      <w:r>
        <w:rPr>
          <w:rFonts w:ascii="Arial Unicode MS" w:hAnsi="Arial Unicode MS" w:eastAsia="Arial Unicode MS" w:cs="Arial Unicode MS"/>
          <w:b w:val="0"/>
          <w:i w:val="0"/>
        </w:rPr>
        <w:t>第6条（招集）</w:t>
      </w:r>
    </w:p>
    <w:p>
      <w:pPr>
        <w:spacing w:before="0" w:after="120" w:line="264" w:lineRule="auto"/>
      </w:pPr>
      <w:r>
        <w:rPr>
          <w:rFonts w:ascii="Arial Unicode MS" w:hAnsi="Arial Unicode MS" w:eastAsia="Arial Unicode MS" w:cs="Arial Unicode MS"/>
          <w:b w:val="0"/>
          <w:i w:val="0"/>
        </w:rPr>
        <w:t>経営会議は、議長が招集する。</w:t>
      </w:r>
    </w:p>
    <w:p>
      <w:pPr>
        <w:pStyle w:val="ListNumber"/>
        <w:spacing w:before="0" w:after="160" w:line="280" w:lineRule="auto"/>
        <w:ind w:left="720" w:hanging="360"/>
      </w:pPr>
      <w:r>
        <w:rPr>
          <w:rFonts w:ascii="Arial Unicode MS" w:hAnsi="Arial Unicode MS" w:eastAsia="Arial Unicode MS" w:cs="Arial Unicode MS"/>
          <w:b w:val="0"/>
          <w:i w:val="0"/>
        </w:rPr>
        <w:t>経営会議の事務局は、管理部とする。</w:t>
      </w:r>
    </w:p>
    <w:p>
      <w:pPr>
        <w:pStyle w:val="Heading1"/>
      </w:pPr>
      <w:r>
        <w:rPr>
          <w:rFonts w:ascii="Arial Unicode MS" w:hAnsi="Arial Unicode MS" w:eastAsia="Arial Unicode MS" w:cs="Arial Unicode MS"/>
          <w:b w:val="0"/>
          <w:i w:val="0"/>
        </w:rPr>
        <w:t>第4章 審議事項及び報告事項</w:t>
      </w:r>
    </w:p>
    <w:p>
      <w:pPr>
        <w:pStyle w:val="Heading2"/>
      </w:pPr>
      <w:r>
        <w:rPr>
          <w:rFonts w:ascii="Arial Unicode MS" w:hAnsi="Arial Unicode MS" w:eastAsia="Arial Unicode MS" w:cs="Arial Unicode MS"/>
          <w:b w:val="0"/>
          <w:i w:val="0"/>
        </w:rPr>
        <w:t>第7条（審議事項）</w:t>
      </w:r>
    </w:p>
    <w:p>
      <w:pPr>
        <w:spacing w:before="0" w:after="120" w:line="264" w:lineRule="auto"/>
      </w:pPr>
      <w:r>
        <w:rPr>
          <w:rFonts w:ascii="Arial Unicode MS" w:hAnsi="Arial Unicode MS" w:eastAsia="Arial Unicode MS" w:cs="Arial Unicode MS"/>
          <w:b w:val="0"/>
          <w:i w:val="0"/>
        </w:rPr>
        <w:t>経営会議は、次の事項を審議する。</w:t>
      </w:r>
    </w:p>
    <w:p>
      <w:pPr>
        <w:pStyle w:val="ListNumber"/>
        <w:spacing w:before="0" w:after="160" w:line="280" w:lineRule="auto"/>
        <w:ind w:left="720" w:hanging="360"/>
      </w:pPr>
      <w:r>
        <w:rPr>
          <w:rFonts w:ascii="Arial Unicode MS" w:hAnsi="Arial Unicode MS" w:eastAsia="Arial Unicode MS" w:cs="Arial Unicode MS"/>
          <w:b w:val="0"/>
          <w:i w:val="0"/>
        </w:rPr>
        <w:t>経営方針、事業計画、中期経営計画に関する事項</w:t>
      </w:r>
    </w:p>
    <w:p>
      <w:pPr>
        <w:pStyle w:val="ListNumber"/>
        <w:spacing w:before="0" w:after="160" w:line="280" w:lineRule="auto"/>
        <w:ind w:left="720" w:hanging="360"/>
      </w:pPr>
      <w:r>
        <w:rPr>
          <w:rFonts w:ascii="Arial Unicode MS" w:hAnsi="Arial Unicode MS" w:eastAsia="Arial Unicode MS" w:cs="Arial Unicode MS"/>
          <w:b w:val="0"/>
          <w:i w:val="0"/>
        </w:rPr>
        <w:t>年度予算、予算修正、予実差異に関する事項</w:t>
      </w:r>
    </w:p>
    <w:p>
      <w:pPr>
        <w:pStyle w:val="ListNumber"/>
        <w:spacing w:before="0" w:after="160" w:line="280" w:lineRule="auto"/>
        <w:ind w:left="720" w:hanging="360"/>
      </w:pPr>
      <w:r>
        <w:rPr>
          <w:rFonts w:ascii="Arial Unicode MS" w:hAnsi="Arial Unicode MS" w:eastAsia="Arial Unicode MS" w:cs="Arial Unicode MS"/>
          <w:b w:val="0"/>
          <w:i w:val="0"/>
        </w:rPr>
        <w:t>重要な組織、人事、採用に関する事項</w:t>
      </w:r>
    </w:p>
    <w:p>
      <w:pPr>
        <w:pStyle w:val="ListNumber"/>
        <w:spacing w:before="0" w:after="160" w:line="280" w:lineRule="auto"/>
        <w:ind w:left="720" w:hanging="360"/>
      </w:pPr>
      <w:r>
        <w:rPr>
          <w:rFonts w:ascii="Arial Unicode MS" w:hAnsi="Arial Unicode MS" w:eastAsia="Arial Unicode MS" w:cs="Arial Unicode MS"/>
          <w:b w:val="0"/>
          <w:i w:val="0"/>
        </w:rPr>
        <w:t>重要な契約、投資、資金調達、資金運用に関する事項</w:t>
      </w:r>
    </w:p>
    <w:p>
      <w:pPr>
        <w:pStyle w:val="ListNumber"/>
        <w:spacing w:before="0" w:after="160" w:line="280" w:lineRule="auto"/>
        <w:ind w:left="720" w:hanging="360"/>
      </w:pPr>
      <w:r>
        <w:rPr>
          <w:rFonts w:ascii="Arial Unicode MS" w:hAnsi="Arial Unicode MS" w:eastAsia="Arial Unicode MS" w:cs="Arial Unicode MS"/>
          <w:b w:val="0"/>
          <w:i w:val="0"/>
        </w:rPr>
        <w:t>重要な販売、購買、外注、与信に関する事項</w:t>
      </w:r>
    </w:p>
    <w:p>
      <w:pPr>
        <w:pStyle w:val="ListNumber"/>
        <w:spacing w:before="0" w:after="160" w:line="280" w:lineRule="auto"/>
        <w:ind w:left="720" w:hanging="360"/>
      </w:pPr>
      <w:r>
        <w:rPr>
          <w:rFonts w:ascii="Arial Unicode MS" w:hAnsi="Arial Unicode MS" w:eastAsia="Arial Unicode MS" w:cs="Arial Unicode MS"/>
          <w:b w:val="0"/>
          <w:i w:val="0"/>
        </w:rPr>
        <w:t>重要なリスク、コンプライアンス、クレーム、事故、不祥事に関する事項</w:t>
      </w:r>
    </w:p>
    <w:p>
      <w:pPr>
        <w:pStyle w:val="ListNumber"/>
        <w:spacing w:before="0" w:after="160" w:line="280" w:lineRule="auto"/>
        <w:ind w:left="720" w:hanging="360"/>
      </w:pPr>
      <w:r>
        <w:rPr>
          <w:rFonts w:ascii="Arial Unicode MS" w:hAnsi="Arial Unicode MS" w:eastAsia="Arial Unicode MS" w:cs="Arial Unicode MS"/>
          <w:b w:val="0"/>
          <w:i w:val="0"/>
        </w:rPr>
        <w:t>取締役会に付議又は報告する事項</w:t>
      </w:r>
    </w:p>
    <w:p>
      <w:pPr>
        <w:pStyle w:val="ListNumber"/>
        <w:spacing w:before="0" w:after="160" w:line="280" w:lineRule="auto"/>
        <w:ind w:left="720" w:hanging="360"/>
      </w:pPr>
      <w:r>
        <w:rPr>
          <w:rFonts w:ascii="Arial Unicode MS" w:hAnsi="Arial Unicode MS" w:eastAsia="Arial Unicode MS" w:cs="Arial Unicode MS"/>
          <w:b w:val="0"/>
          <w:i w:val="0"/>
        </w:rPr>
        <w:t>その他議長が必要と認める事項</w:t>
      </w:r>
    </w:p>
    <w:p>
      <w:pPr>
        <w:pStyle w:val="Heading2"/>
      </w:pPr>
      <w:r>
        <w:rPr>
          <w:rFonts w:ascii="Arial Unicode MS" w:hAnsi="Arial Unicode MS" w:eastAsia="Arial Unicode MS" w:cs="Arial Unicode MS"/>
          <w:b w:val="0"/>
          <w:i w:val="0"/>
        </w:rPr>
        <w:t>第8条（報告事項）</w:t>
      </w:r>
    </w:p>
    <w:p>
      <w:pPr>
        <w:spacing w:before="0" w:after="120" w:line="264" w:lineRule="auto"/>
      </w:pPr>
      <w:r>
        <w:rPr>
          <w:rFonts w:ascii="Arial Unicode MS" w:hAnsi="Arial Unicode MS" w:eastAsia="Arial Unicode MS" w:cs="Arial Unicode MS"/>
          <w:b w:val="0"/>
          <w:i w:val="0"/>
        </w:rPr>
        <w:t>経営会議では、次の事項を報告する。</w:t>
      </w:r>
    </w:p>
    <w:p>
      <w:pPr>
        <w:pStyle w:val="ListNumber"/>
        <w:spacing w:before="0" w:after="160" w:line="280" w:lineRule="auto"/>
        <w:ind w:left="720" w:hanging="360"/>
      </w:pPr>
      <w:r>
        <w:rPr>
          <w:rFonts w:ascii="Arial Unicode MS" w:hAnsi="Arial Unicode MS" w:eastAsia="Arial Unicode MS" w:cs="Arial Unicode MS"/>
          <w:b w:val="0"/>
          <w:i w:val="0"/>
        </w:rPr>
        <w:t>月次業績及び予実差異</w:t>
      </w:r>
    </w:p>
    <w:p>
      <w:pPr>
        <w:pStyle w:val="ListNumber"/>
        <w:spacing w:before="0" w:after="160" w:line="280" w:lineRule="auto"/>
        <w:ind w:left="720" w:hanging="360"/>
      </w:pPr>
      <w:r>
        <w:rPr>
          <w:rFonts w:ascii="Arial Unicode MS" w:hAnsi="Arial Unicode MS" w:eastAsia="Arial Unicode MS" w:cs="Arial Unicode MS"/>
          <w:b w:val="0"/>
          <w:i w:val="0"/>
        </w:rPr>
        <w:t>主要案件及び営業活動の進捗</w:t>
      </w:r>
    </w:p>
    <w:p>
      <w:pPr>
        <w:pStyle w:val="ListNumber"/>
        <w:spacing w:before="0" w:after="160" w:line="280" w:lineRule="auto"/>
        <w:ind w:left="720" w:hanging="360"/>
      </w:pPr>
      <w:r>
        <w:rPr>
          <w:rFonts w:ascii="Arial Unicode MS" w:hAnsi="Arial Unicode MS" w:eastAsia="Arial Unicode MS" w:cs="Arial Unicode MS"/>
          <w:b w:val="0"/>
          <w:i w:val="0"/>
        </w:rPr>
        <w:t>資金繰り及び財務状況</w:t>
      </w:r>
    </w:p>
    <w:p>
      <w:pPr>
        <w:pStyle w:val="ListNumber"/>
        <w:spacing w:before="0" w:after="160" w:line="280" w:lineRule="auto"/>
        <w:ind w:left="720" w:hanging="360"/>
      </w:pPr>
      <w:r>
        <w:rPr>
          <w:rFonts w:ascii="Arial Unicode MS" w:hAnsi="Arial Unicode MS" w:eastAsia="Arial Unicode MS" w:cs="Arial Unicode MS"/>
          <w:b w:val="0"/>
          <w:i w:val="0"/>
        </w:rPr>
        <w:t>部門別の業務執行状況</w:t>
      </w:r>
    </w:p>
    <w:p>
      <w:pPr>
        <w:pStyle w:val="ListNumber"/>
        <w:spacing w:before="0" w:after="160" w:line="280" w:lineRule="auto"/>
        <w:ind w:left="720" w:hanging="360"/>
      </w:pPr>
      <w:r>
        <w:rPr>
          <w:rFonts w:ascii="Arial Unicode MS" w:hAnsi="Arial Unicode MS" w:eastAsia="Arial Unicode MS" w:cs="Arial Unicode MS"/>
          <w:b w:val="0"/>
          <w:i w:val="0"/>
        </w:rPr>
        <w:t>重要な稟議及び決裁の状況</w:t>
      </w:r>
    </w:p>
    <w:p>
      <w:pPr>
        <w:pStyle w:val="ListNumber"/>
        <w:spacing w:before="0" w:after="160" w:line="280" w:lineRule="auto"/>
        <w:ind w:left="720" w:hanging="360"/>
      </w:pPr>
      <w:r>
        <w:rPr>
          <w:rFonts w:ascii="Arial Unicode MS" w:hAnsi="Arial Unicode MS" w:eastAsia="Arial Unicode MS" w:cs="Arial Unicode MS"/>
          <w:b w:val="0"/>
          <w:i w:val="0"/>
        </w:rPr>
        <w:t>内部監査、監査役監査、外部専門家による指摘事項及び改善状況</w:t>
      </w:r>
    </w:p>
    <w:p>
      <w:pPr>
        <w:pStyle w:val="ListNumber"/>
        <w:spacing w:before="0" w:after="160" w:line="280" w:lineRule="auto"/>
        <w:ind w:left="720" w:hanging="360"/>
      </w:pPr>
      <w:r>
        <w:rPr>
          <w:rFonts w:ascii="Arial Unicode MS" w:hAnsi="Arial Unicode MS" w:eastAsia="Arial Unicode MS" w:cs="Arial Unicode MS"/>
          <w:b w:val="0"/>
          <w:i w:val="0"/>
        </w:rPr>
        <w:t>その他議長が必要と認める事項</w:t>
      </w:r>
    </w:p>
    <w:p>
      <w:pPr>
        <w:pStyle w:val="Heading1"/>
      </w:pPr>
      <w:r>
        <w:rPr>
          <w:rFonts w:ascii="Arial Unicode MS" w:hAnsi="Arial Unicode MS" w:eastAsia="Arial Unicode MS" w:cs="Arial Unicode MS"/>
          <w:b w:val="0"/>
          <w:i w:val="0"/>
        </w:rPr>
        <w:t>第5章 運営</w:t>
      </w:r>
    </w:p>
    <w:p>
      <w:pPr>
        <w:pStyle w:val="Heading2"/>
      </w:pPr>
      <w:r>
        <w:rPr>
          <w:rFonts w:ascii="Arial Unicode MS" w:hAnsi="Arial Unicode MS" w:eastAsia="Arial Unicode MS" w:cs="Arial Unicode MS"/>
          <w:b w:val="0"/>
          <w:i w:val="0"/>
        </w:rPr>
        <w:t>第9条（資料提出）</w:t>
      </w:r>
    </w:p>
    <w:p>
      <w:pPr>
        <w:spacing w:before="0" w:after="120" w:line="264" w:lineRule="auto"/>
      </w:pPr>
      <w:r>
        <w:rPr>
          <w:rFonts w:ascii="Arial Unicode MS" w:hAnsi="Arial Unicode MS" w:eastAsia="Arial Unicode MS" w:cs="Arial Unicode MS"/>
          <w:b w:val="0"/>
          <w:i w:val="0"/>
        </w:rPr>
        <w:t>経営会議に付議又は報告する事項がある部門は、事務局が定める期限までに資料を提出する。</w:t>
      </w:r>
    </w:p>
    <w:p>
      <w:pPr>
        <w:pStyle w:val="ListNumber"/>
        <w:spacing w:before="0" w:after="160" w:line="280" w:lineRule="auto"/>
        <w:ind w:left="720" w:hanging="360"/>
      </w:pPr>
      <w:r>
        <w:rPr>
          <w:rFonts w:ascii="Arial Unicode MS" w:hAnsi="Arial Unicode MS" w:eastAsia="Arial Unicode MS" w:cs="Arial Unicode MS"/>
          <w:b w:val="0"/>
          <w:i w:val="0"/>
        </w:rPr>
        <w:t>月次決算及び予実管理に関する資料は、原則として翌月20日までに実績を反映したうえで、経営会議に提出する。</w:t>
      </w:r>
    </w:p>
    <w:p>
      <w:pPr>
        <w:pStyle w:val="Heading2"/>
      </w:pPr>
      <w:r>
        <w:rPr>
          <w:rFonts w:ascii="Arial Unicode MS" w:hAnsi="Arial Unicode MS" w:eastAsia="Arial Unicode MS" w:cs="Arial Unicode MS"/>
          <w:b w:val="0"/>
          <w:i w:val="0"/>
        </w:rPr>
        <w:t>第10条（議事録）</w:t>
      </w:r>
    </w:p>
    <w:p>
      <w:pPr>
        <w:spacing w:before="0" w:after="120" w:line="264" w:lineRule="auto"/>
      </w:pPr>
      <w:r>
        <w:rPr>
          <w:rFonts w:ascii="Arial Unicode MS" w:hAnsi="Arial Unicode MS" w:eastAsia="Arial Unicode MS" w:cs="Arial Unicode MS"/>
          <w:b w:val="0"/>
          <w:i w:val="0"/>
        </w:rPr>
        <w:t>事務局は、経営会議の議事について議事録を作成する。</w:t>
      </w:r>
    </w:p>
    <w:p>
      <w:pPr>
        <w:pStyle w:val="ListNumber"/>
        <w:spacing w:before="0" w:after="160" w:line="280" w:lineRule="auto"/>
        <w:ind w:left="720" w:hanging="360"/>
      </w:pPr>
      <w:r>
        <w:rPr>
          <w:rFonts w:ascii="Arial Unicode MS" w:hAnsi="Arial Unicode MS" w:eastAsia="Arial Unicode MS" w:cs="Arial Unicode MS"/>
          <w:b w:val="0"/>
          <w:i w:val="0"/>
        </w:rPr>
        <w:t>議事録には、開催日時、出席者、議題、審議又は報告の概要、決定事項、継続検討事項、担当者及び期限を記載する。</w:t>
      </w:r>
    </w:p>
    <w:p>
      <w:pPr>
        <w:pStyle w:val="Heading2"/>
      </w:pPr>
      <w:r>
        <w:rPr>
          <w:rFonts w:ascii="Arial Unicode MS" w:hAnsi="Arial Unicode MS" w:eastAsia="Arial Unicode MS" w:cs="Arial Unicode MS"/>
          <w:b w:val="0"/>
          <w:i w:val="0"/>
        </w:rPr>
        <w:t>第11条（取締役会への報告）</w:t>
      </w:r>
    </w:p>
    <w:p>
      <w:pPr>
        <w:spacing w:before="0" w:after="120" w:line="264" w:lineRule="auto"/>
      </w:pPr>
      <w:r>
        <w:rPr>
          <w:rFonts w:ascii="Arial Unicode MS" w:hAnsi="Arial Unicode MS" w:eastAsia="Arial Unicode MS" w:cs="Arial Unicode MS"/>
          <w:b w:val="0"/>
          <w:i w:val="0"/>
        </w:rPr>
        <w:t>経営会議で審議した事項のうち、取締役会への付議又は報告が必要な事項は、事務局が整理し、取締役会資料として取りまとめる。</w:t>
      </w:r>
    </w:p>
    <w:p>
      <w:pPr>
        <w:pStyle w:val="Heading1"/>
      </w:pPr>
      <w:r>
        <w:rPr>
          <w:rFonts w:ascii="Arial Unicode MS" w:hAnsi="Arial Unicode MS" w:eastAsia="Arial Unicode MS" w:cs="Arial Unicode MS"/>
          <w:b w:val="0"/>
          <w:i w:val="0"/>
        </w:rPr>
        <w:t>第6章 改廃</w:t>
      </w:r>
    </w:p>
    <w:p>
      <w:pPr>
        <w:pStyle w:val="Heading2"/>
      </w:pPr>
      <w:r>
        <w:rPr>
          <w:rFonts w:ascii="Arial Unicode MS" w:hAnsi="Arial Unicode MS" w:eastAsia="Arial Unicode MS" w:cs="Arial Unicode MS"/>
          <w:b w:val="0"/>
          <w:i w:val="0"/>
        </w:rPr>
        <w:t>第12条（改廃）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経営会議はこれから設置する</w:t>
      </w:r>
    </w:p>
    <w:p>
      <w:pPr>
        <w:pStyle w:val="ListBullet"/>
        <w:spacing w:before="0" w:after="160" w:line="280" w:lineRule="auto"/>
        <w:ind w:left="720" w:hanging="360"/>
      </w:pPr>
      <w:r>
        <w:rPr>
          <w:rFonts w:ascii="Arial Unicode MS" w:hAnsi="Arial Unicode MS" w:eastAsia="Arial Unicode MS" w:cs="Arial Unicode MS"/>
          <w:b w:val="0"/>
          <w:i w:val="0"/>
        </w:rPr>
        <w:t>開催頻度を月1回でよいか</w:t>
      </w:r>
    </w:p>
    <w:p>
      <w:pPr>
        <w:pStyle w:val="ListBullet"/>
        <w:spacing w:before="0" w:after="160" w:line="280" w:lineRule="auto"/>
        <w:ind w:left="720" w:hanging="360"/>
      </w:pPr>
      <w:r>
        <w:rPr>
          <w:rFonts w:ascii="Arial Unicode MS" w:hAnsi="Arial Unicode MS" w:eastAsia="Arial Unicode MS" w:cs="Arial Unicode MS"/>
          <w:b w:val="0"/>
          <w:i w:val="0"/>
        </w:rPr>
        <w:t>取締役会と同日開催にするか、事前開催にするか</w:t>
      </w:r>
    </w:p>
    <w:p>
      <w:pPr>
        <w:pStyle w:val="ListBullet"/>
        <w:spacing w:before="0" w:after="160" w:line="280" w:lineRule="auto"/>
        <w:ind w:left="720" w:hanging="360"/>
      </w:pPr>
      <w:r>
        <w:rPr>
          <w:rFonts w:ascii="Arial Unicode MS" w:hAnsi="Arial Unicode MS" w:eastAsia="Arial Unicode MS" w:cs="Arial Unicode MS"/>
          <w:b w:val="0"/>
          <w:i w:val="0"/>
        </w:rPr>
        <w:t>出席者の範囲</w:t>
      </w:r>
    </w:p>
    <w:p>
      <w:pPr>
        <w:pStyle w:val="ListBullet"/>
        <w:spacing w:before="0" w:after="160" w:line="280" w:lineRule="auto"/>
        <w:ind w:left="720" w:hanging="360"/>
      </w:pPr>
      <w:r>
        <w:rPr>
          <w:rFonts w:ascii="Arial Unicode MS" w:hAnsi="Arial Unicode MS" w:eastAsia="Arial Unicode MS" w:cs="Arial Unicode MS"/>
          <w:b w:val="0"/>
          <w:i w:val="0"/>
        </w:rPr>
        <w:t>月次決算・予実管理の報告タイミングは、まず翌月20日反映を前提とする</w:t>
      </w:r>
    </w:p>
    <w:p>
      <w:pPr>
        <w:pStyle w:val="ListBullet"/>
        <w:spacing w:before="0" w:after="160" w:line="280" w:lineRule="auto"/>
        <w:ind w:left="720" w:hanging="360"/>
      </w:pPr>
      <w:r>
        <w:rPr>
          <w:rFonts w:ascii="Arial Unicode MS" w:hAnsi="Arial Unicode MS" w:eastAsia="Arial Unicode MS" w:cs="Arial Unicode MS"/>
          <w:b w:val="0"/>
          <w:i w:val="0"/>
        </w:rPr>
        <w:t>議事録の作成者及び保管場所</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経営会議規程（ドラフト）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経営会議規程（ドラフト）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