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経理規程（ドラフト）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本規程は、株式会社MoMoにおける会計処理、経理業務、月次決算、年度決算及び会計資料の管理に関する基本事項を定め、財務報告の正確性、適時性及び信頼性を確保することを目的とする。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会社の経理及び会計に関する事項は、法令、会計基準、税務関係法令、定款その他別に定めるもののほか、本規程による。</w:t>
      </w:r>
    </w:p>
    <w:p>
      <w:pPr>
        <w:pStyle w:val="Heading2"/>
      </w:pPr>
      <w:r>
        <w:rPr>
          <w:rFonts w:ascii="Arial Unicode MS" w:hAnsi="Arial Unicode MS" w:eastAsia="Arial Unicode MS" w:cs="Arial Unicode MS"/>
          <w:b w:val="0"/>
          <w:i w:val="0"/>
        </w:rPr>
        <w:t>第3条（基本方針）</w:t>
      </w:r>
    </w:p>
    <w:p>
      <w:pPr>
        <w:spacing w:before="0" w:after="120" w:line="264" w:lineRule="auto"/>
      </w:pPr>
      <w:r>
        <w:rPr>
          <w:rFonts w:ascii="Arial Unicode MS" w:hAnsi="Arial Unicode MS" w:eastAsia="Arial Unicode MS" w:cs="Arial Unicode MS"/>
          <w:b w:val="0"/>
          <w:i w:val="0"/>
        </w:rPr>
        <w:t>経理処理は、取引の実態に基づき、正確かつ適時に行う。</w:t>
      </w:r>
    </w:p>
    <w:p>
      <w:pPr>
        <w:pStyle w:val="ListNumber"/>
        <w:spacing w:before="0" w:after="160" w:line="280" w:lineRule="auto"/>
        <w:ind w:left="720" w:hanging="360"/>
      </w:pPr>
      <w:r>
        <w:rPr>
          <w:rFonts w:ascii="Arial Unicode MS" w:hAnsi="Arial Unicode MS" w:eastAsia="Arial Unicode MS" w:cs="Arial Unicode MS"/>
          <w:b w:val="0"/>
          <w:i w:val="0"/>
        </w:rPr>
        <w:t>経理処理にあたっては、証憑に基づく記録、承認権限の遵守、担当者と承認者の分離、処理履歴の保存を基本とする。</w:t>
      </w:r>
    </w:p>
    <w:p>
      <w:pPr>
        <w:pStyle w:val="ListNumber"/>
        <w:spacing w:before="0" w:after="160" w:line="280" w:lineRule="auto"/>
        <w:ind w:left="720" w:hanging="360"/>
      </w:pPr>
      <w:r>
        <w:rPr>
          <w:rFonts w:ascii="Arial Unicode MS" w:hAnsi="Arial Unicode MS" w:eastAsia="Arial Unicode MS" w:cs="Arial Unicode MS"/>
          <w:b w:val="0"/>
          <w:i w:val="0"/>
        </w:rPr>
        <w:t>経理処理及び財務報告は、継続性、網羅性、正確性及び検証可能性を確保する。</w:t>
      </w:r>
    </w:p>
    <w:p>
      <w:pPr>
        <w:pStyle w:val="Heading1"/>
      </w:pPr>
      <w:r>
        <w:rPr>
          <w:rFonts w:ascii="Arial Unicode MS" w:hAnsi="Arial Unicode MS" w:eastAsia="Arial Unicode MS" w:cs="Arial Unicode MS"/>
          <w:b w:val="0"/>
          <w:i w:val="0"/>
        </w:rPr>
        <w:t>第2章 経理体制</w:t>
      </w:r>
    </w:p>
    <w:p>
      <w:pPr>
        <w:pStyle w:val="Heading2"/>
      </w:pPr>
      <w:r>
        <w:rPr>
          <w:rFonts w:ascii="Arial Unicode MS" w:hAnsi="Arial Unicode MS" w:eastAsia="Arial Unicode MS" w:cs="Arial Unicode MS"/>
          <w:b w:val="0"/>
          <w:i w:val="0"/>
        </w:rPr>
        <w:t>第4条（主管部署）</w:t>
      </w:r>
    </w:p>
    <w:p>
      <w:pPr>
        <w:spacing w:before="0" w:after="120" w:line="264" w:lineRule="auto"/>
      </w:pPr>
      <w:r>
        <w:rPr>
          <w:rFonts w:ascii="Arial Unicode MS" w:hAnsi="Arial Unicode MS" w:eastAsia="Arial Unicode MS" w:cs="Arial Unicode MS"/>
          <w:b w:val="0"/>
          <w:i w:val="0"/>
        </w:rPr>
        <w:t>経理業務の主管部署は、管理部とする。</w:t>
      </w:r>
    </w:p>
    <w:p>
      <w:pPr>
        <w:pStyle w:val="Heading2"/>
      </w:pPr>
      <w:r>
        <w:rPr>
          <w:rFonts w:ascii="Arial Unicode MS" w:hAnsi="Arial Unicode MS" w:eastAsia="Arial Unicode MS" w:cs="Arial Unicode MS"/>
          <w:b w:val="0"/>
          <w:i w:val="0"/>
        </w:rPr>
        <w:t>第5条（経理担当者）</w:t>
      </w:r>
    </w:p>
    <w:p>
      <w:pPr>
        <w:spacing w:before="0" w:after="120" w:line="264" w:lineRule="auto"/>
      </w:pPr>
      <w:r>
        <w:rPr>
          <w:rFonts w:ascii="Arial Unicode MS" w:hAnsi="Arial Unicode MS" w:eastAsia="Arial Unicode MS" w:cs="Arial Unicode MS"/>
          <w:b w:val="0"/>
          <w:i w:val="0"/>
        </w:rPr>
        <w:t>経理実務は、伊藤翔及び柿塚が担当する。</w:t>
      </w:r>
    </w:p>
    <w:p>
      <w:pPr>
        <w:pStyle w:val="ListNumber"/>
        <w:spacing w:before="0" w:after="160" w:line="280" w:lineRule="auto"/>
        <w:ind w:left="720" w:hanging="360"/>
      </w:pPr>
      <w:r>
        <w:rPr>
          <w:rFonts w:ascii="Arial Unicode MS" w:hAnsi="Arial Unicode MS" w:eastAsia="Arial Unicode MS" w:cs="Arial Unicode MS"/>
          <w:b w:val="0"/>
          <w:i w:val="0"/>
        </w:rPr>
        <w:t>経理担当者は、日常の会計処理、証憑確認、支払準備、月次決算資料の作成、事業別実績の確認その他経理に必要な業務を行う。</w:t>
      </w:r>
    </w:p>
    <w:p>
      <w:pPr>
        <w:pStyle w:val="Heading2"/>
      </w:pPr>
      <w:r>
        <w:rPr>
          <w:rFonts w:ascii="Arial Unicode MS" w:hAnsi="Arial Unicode MS" w:eastAsia="Arial Unicode MS" w:cs="Arial Unicode MS"/>
          <w:b w:val="0"/>
          <w:i w:val="0"/>
        </w:rPr>
        <w:t>第6条（承認者）</w:t>
      </w:r>
    </w:p>
    <w:p>
      <w:pPr>
        <w:spacing w:before="0" w:after="120" w:line="264" w:lineRule="auto"/>
      </w:pPr>
      <w:r>
        <w:rPr>
          <w:rFonts w:ascii="Arial Unicode MS" w:hAnsi="Arial Unicode MS" w:eastAsia="Arial Unicode MS" w:cs="Arial Unicode MS"/>
          <w:b w:val="0"/>
          <w:i w:val="0"/>
        </w:rPr>
        <w:t>支払、銀行振込、インターネットバンキングの承認は、伊藤翔が行う。</w:t>
      </w:r>
    </w:p>
    <w:p>
      <w:pPr>
        <w:pStyle w:val="ListNumber"/>
        <w:spacing w:before="0" w:after="160" w:line="280" w:lineRule="auto"/>
        <w:ind w:left="720" w:hanging="360"/>
      </w:pPr>
      <w:r>
        <w:rPr>
          <w:rFonts w:ascii="Arial Unicode MS" w:hAnsi="Arial Unicode MS" w:eastAsia="Arial Unicode MS" w:cs="Arial Unicode MS"/>
          <w:b w:val="0"/>
          <w:i w:val="0"/>
        </w:rPr>
        <w:t>10万円以上の支出は、原則として事前に稟議を行い、伊藤翔の承認を得る。</w:t>
      </w:r>
    </w:p>
    <w:p>
      <w:pPr>
        <w:pStyle w:val="Heading2"/>
      </w:pPr>
      <w:r>
        <w:rPr>
          <w:rFonts w:ascii="Arial Unicode MS" w:hAnsi="Arial Unicode MS" w:eastAsia="Arial Unicode MS" w:cs="Arial Unicode MS"/>
          <w:b w:val="0"/>
          <w:i w:val="0"/>
        </w:rPr>
        <w:t>第7条（牽制）</w:t>
      </w:r>
    </w:p>
    <w:p>
      <w:pPr>
        <w:spacing w:before="0" w:after="120" w:line="264" w:lineRule="auto"/>
      </w:pPr>
      <w:r>
        <w:rPr>
          <w:rFonts w:ascii="Arial Unicode MS" w:hAnsi="Arial Unicode MS" w:eastAsia="Arial Unicode MS" w:cs="Arial Unicode MS"/>
          <w:b w:val="0"/>
          <w:i w:val="0"/>
        </w:rPr>
        <w:t>経理業務においては、申請、確認、支払準備、承認、会計記録の各手続について、可能な限り担当者を分離する。</w:t>
      </w:r>
    </w:p>
    <w:p>
      <w:pPr>
        <w:pStyle w:val="ListNumber"/>
        <w:spacing w:before="0" w:after="160" w:line="280" w:lineRule="auto"/>
        <w:ind w:left="720" w:hanging="360"/>
      </w:pPr>
      <w:r>
        <w:rPr>
          <w:rFonts w:ascii="Arial Unicode MS" w:hAnsi="Arial Unicode MS" w:eastAsia="Arial Unicode MS" w:cs="Arial Unicode MS"/>
          <w:b w:val="0"/>
          <w:i w:val="0"/>
        </w:rPr>
        <w:t>人員体制上分離が困難な場合であっても、証憑、承認履歴及び処理履歴を保存し、事後確認ができる状態にする。</w:t>
      </w:r>
    </w:p>
    <w:p>
      <w:pPr>
        <w:pStyle w:val="Heading1"/>
      </w:pPr>
      <w:r>
        <w:rPr>
          <w:rFonts w:ascii="Arial Unicode MS" w:hAnsi="Arial Unicode MS" w:eastAsia="Arial Unicode MS" w:cs="Arial Unicode MS"/>
          <w:b w:val="0"/>
          <w:i w:val="0"/>
        </w:rPr>
        <w:t>第3章 会計処理</w:t>
      </w:r>
    </w:p>
    <w:p>
      <w:pPr>
        <w:pStyle w:val="Heading2"/>
      </w:pPr>
      <w:r>
        <w:rPr>
          <w:rFonts w:ascii="Arial Unicode MS" w:hAnsi="Arial Unicode MS" w:eastAsia="Arial Unicode MS" w:cs="Arial Unicode MS"/>
          <w:b w:val="0"/>
          <w:i w:val="0"/>
        </w:rPr>
        <w:t>第8条（会計処理の基準）</w:t>
      </w:r>
    </w:p>
    <w:p>
      <w:pPr>
        <w:spacing w:before="0" w:after="120" w:line="264" w:lineRule="auto"/>
      </w:pPr>
      <w:r>
        <w:rPr>
          <w:rFonts w:ascii="Arial Unicode MS" w:hAnsi="Arial Unicode MS" w:eastAsia="Arial Unicode MS" w:cs="Arial Unicode MS"/>
          <w:b w:val="0"/>
          <w:i w:val="0"/>
        </w:rPr>
        <w:t>会計処理は、一般に公正妥当と認められる企業会計の基準及び会社が採用する会計方針に従う。</w:t>
      </w:r>
    </w:p>
    <w:p>
      <w:pPr>
        <w:pStyle w:val="Heading2"/>
      </w:pPr>
      <w:r>
        <w:rPr>
          <w:rFonts w:ascii="Arial Unicode MS" w:hAnsi="Arial Unicode MS" w:eastAsia="Arial Unicode MS" w:cs="Arial Unicode MS"/>
          <w:b w:val="0"/>
          <w:i w:val="0"/>
        </w:rPr>
        <w:t>第9条（証憑）</w:t>
      </w:r>
    </w:p>
    <w:p>
      <w:pPr>
        <w:spacing w:before="0" w:after="120" w:line="264" w:lineRule="auto"/>
      </w:pPr>
      <w:r>
        <w:rPr>
          <w:rFonts w:ascii="Arial Unicode MS" w:hAnsi="Arial Unicode MS" w:eastAsia="Arial Unicode MS" w:cs="Arial Unicode MS"/>
          <w:b w:val="0"/>
          <w:i w:val="0"/>
        </w:rPr>
        <w:t>経理処理は、請求書、領収書、契約書、発注書、納品書、検収記録、入金記録、銀行明細その他取引を証明する資料に基づき行う。</w:t>
      </w:r>
    </w:p>
    <w:p>
      <w:pPr>
        <w:pStyle w:val="ListNumber"/>
        <w:spacing w:before="0" w:after="160" w:line="280" w:lineRule="auto"/>
        <w:ind w:left="720" w:hanging="360"/>
      </w:pPr>
      <w:r>
        <w:rPr>
          <w:rFonts w:ascii="Arial Unicode MS" w:hAnsi="Arial Unicode MS" w:eastAsia="Arial Unicode MS" w:cs="Arial Unicode MS"/>
          <w:b w:val="0"/>
          <w:i w:val="0"/>
        </w:rPr>
        <w:t>証憑は、電子データ又は紙により適切に保存する。</w:t>
      </w:r>
    </w:p>
    <w:p>
      <w:pPr>
        <w:pStyle w:val="Heading2"/>
      </w:pPr>
      <w:r>
        <w:rPr>
          <w:rFonts w:ascii="Arial Unicode MS" w:hAnsi="Arial Unicode MS" w:eastAsia="Arial Unicode MS" w:cs="Arial Unicode MS"/>
          <w:b w:val="0"/>
          <w:i w:val="0"/>
        </w:rPr>
        <w:t>第10条（売上計上）</w:t>
      </w:r>
    </w:p>
    <w:p>
      <w:pPr>
        <w:spacing w:before="0" w:after="120" w:line="264" w:lineRule="auto"/>
      </w:pPr>
      <w:r>
        <w:rPr>
          <w:rFonts w:ascii="Arial Unicode MS" w:hAnsi="Arial Unicode MS" w:eastAsia="Arial Unicode MS" w:cs="Arial Unicode MS"/>
          <w:b w:val="0"/>
          <w:i w:val="0"/>
        </w:rPr>
        <w:t>売上は、契約内容、納品、役務提供、検収、請求その他取引実態を確認したうえで計上する。</w:t>
      </w:r>
    </w:p>
    <w:p>
      <w:pPr>
        <w:pStyle w:val="ListNumber"/>
        <w:spacing w:before="0" w:after="160" w:line="280" w:lineRule="auto"/>
        <w:ind w:left="720" w:hanging="360"/>
      </w:pPr>
      <w:r>
        <w:rPr>
          <w:rFonts w:ascii="Arial Unicode MS" w:hAnsi="Arial Unicode MS" w:eastAsia="Arial Unicode MS" w:cs="Arial Unicode MS"/>
          <w:b w:val="0"/>
          <w:i w:val="0"/>
        </w:rPr>
        <w:t>事業部門は、売上計上に必要な契約、受注、納品、検収、請求、入金状況を管理部へ報告する。</w:t>
      </w:r>
    </w:p>
    <w:p>
      <w:pPr>
        <w:pStyle w:val="Heading2"/>
      </w:pPr>
      <w:r>
        <w:rPr>
          <w:rFonts w:ascii="Arial Unicode MS" w:hAnsi="Arial Unicode MS" w:eastAsia="Arial Unicode MS" w:cs="Arial Unicode MS"/>
          <w:b w:val="0"/>
          <w:i w:val="0"/>
        </w:rPr>
        <w:t>第11条（費用計上）</w:t>
      </w:r>
    </w:p>
    <w:p>
      <w:pPr>
        <w:spacing w:before="0" w:after="120" w:line="264" w:lineRule="auto"/>
      </w:pPr>
      <w:r>
        <w:rPr>
          <w:rFonts w:ascii="Arial Unicode MS" w:hAnsi="Arial Unicode MS" w:eastAsia="Arial Unicode MS" w:cs="Arial Unicode MS"/>
          <w:b w:val="0"/>
          <w:i w:val="0"/>
        </w:rPr>
        <w:t>費用は、発生事実及び証憑を確認したうえで、適切な会計期間に計上する。</w:t>
      </w:r>
    </w:p>
    <w:p>
      <w:pPr>
        <w:pStyle w:val="ListNumber"/>
        <w:spacing w:before="0" w:after="160" w:line="280" w:lineRule="auto"/>
        <w:ind w:left="720" w:hanging="360"/>
      </w:pPr>
      <w:r>
        <w:rPr>
          <w:rFonts w:ascii="Arial Unicode MS" w:hAnsi="Arial Unicode MS" w:eastAsia="Arial Unicode MS" w:cs="Arial Unicode MS"/>
          <w:b w:val="0"/>
          <w:i w:val="0"/>
        </w:rPr>
        <w:t>未払費用、前払費用、減価償却費、引当金その他期間損益に影響する項目については、月次決算及び年度決算において必要な処理を行う。</w:t>
      </w:r>
    </w:p>
    <w:p>
      <w:pPr>
        <w:pStyle w:val="Heading2"/>
      </w:pPr>
      <w:r>
        <w:rPr>
          <w:rFonts w:ascii="Arial Unicode MS" w:hAnsi="Arial Unicode MS" w:eastAsia="Arial Unicode MS" w:cs="Arial Unicode MS"/>
          <w:b w:val="0"/>
          <w:i w:val="0"/>
        </w:rPr>
        <w:t>第12条（経費精算）</w:t>
      </w:r>
    </w:p>
    <w:p>
      <w:pPr>
        <w:spacing w:before="0" w:after="120" w:line="264" w:lineRule="auto"/>
      </w:pPr>
      <w:r>
        <w:rPr>
          <w:rFonts w:ascii="Arial Unicode MS" w:hAnsi="Arial Unicode MS" w:eastAsia="Arial Unicode MS" w:cs="Arial Unicode MS"/>
          <w:b w:val="0"/>
          <w:i w:val="0"/>
        </w:rPr>
        <w:t>経費精算は、原則としてマネーフォワードにより申請、承認及び証憑保存を行う。</w:t>
      </w:r>
    </w:p>
    <w:p>
      <w:pPr>
        <w:pStyle w:val="ListNumber"/>
        <w:spacing w:before="0" w:after="160" w:line="280" w:lineRule="auto"/>
        <w:ind w:left="720" w:hanging="360"/>
      </w:pPr>
      <w:r>
        <w:rPr>
          <w:rFonts w:ascii="Arial Unicode MS" w:hAnsi="Arial Unicode MS" w:eastAsia="Arial Unicode MS" w:cs="Arial Unicode MS"/>
          <w:b w:val="0"/>
          <w:i w:val="0"/>
        </w:rPr>
        <w:t>経費精算の承認者は、伊藤翔とする。</w:t>
      </w:r>
    </w:p>
    <w:p>
      <w:pPr>
        <w:pStyle w:val="ListNumber"/>
        <w:spacing w:before="0" w:after="160" w:line="280" w:lineRule="auto"/>
        <w:ind w:left="720" w:hanging="360"/>
      </w:pPr>
      <w:r>
        <w:rPr>
          <w:rFonts w:ascii="Arial Unicode MS" w:hAnsi="Arial Unicode MS" w:eastAsia="Arial Unicode MS" w:cs="Arial Unicode MS"/>
          <w:b w:val="0"/>
          <w:i w:val="0"/>
        </w:rPr>
        <w:t>経費精算であっても、10万円以上の支出、予算外支出又は重要な支出については、事前稟議を行う。</w:t>
      </w:r>
    </w:p>
    <w:p>
      <w:pPr>
        <w:pStyle w:val="Heading1"/>
      </w:pPr>
      <w:r>
        <w:rPr>
          <w:rFonts w:ascii="Arial Unicode MS" w:hAnsi="Arial Unicode MS" w:eastAsia="Arial Unicode MS" w:cs="Arial Unicode MS"/>
          <w:b w:val="0"/>
          <w:i w:val="0"/>
        </w:rPr>
        <w:t>第4章 月次決算</w:t>
      </w:r>
    </w:p>
    <w:p>
      <w:pPr>
        <w:pStyle w:val="Heading2"/>
      </w:pPr>
      <w:r>
        <w:rPr>
          <w:rFonts w:ascii="Arial Unicode MS" w:hAnsi="Arial Unicode MS" w:eastAsia="Arial Unicode MS" w:cs="Arial Unicode MS"/>
          <w:b w:val="0"/>
          <w:i w:val="0"/>
        </w:rPr>
        <w:t>第13条（月次決算）</w:t>
      </w:r>
    </w:p>
    <w:p>
      <w:pPr>
        <w:spacing w:before="0" w:after="120" w:line="264" w:lineRule="auto"/>
      </w:pPr>
      <w:r>
        <w:rPr>
          <w:rFonts w:ascii="Arial Unicode MS" w:hAnsi="Arial Unicode MS" w:eastAsia="Arial Unicode MS" w:cs="Arial Unicode MS"/>
          <w:b w:val="0"/>
          <w:i w:val="0"/>
        </w:rPr>
        <w:t>管理部は、毎月、月次決算を実施し、売上、原価、経費、営業利益、資金繰り、予実差異その他経営管理上必要な情報を取りまとめる。</w:t>
      </w:r>
    </w:p>
    <w:p>
      <w:pPr>
        <w:pStyle w:val="Heading2"/>
      </w:pPr>
      <w:r>
        <w:rPr>
          <w:rFonts w:ascii="Arial Unicode MS" w:hAnsi="Arial Unicode MS" w:eastAsia="Arial Unicode MS" w:cs="Arial Unicode MS"/>
          <w:b w:val="0"/>
          <w:i w:val="0"/>
        </w:rPr>
        <w:t>第14条（月次締め）</w:t>
      </w:r>
    </w:p>
    <w:p>
      <w:pPr>
        <w:spacing w:before="0" w:after="120" w:line="264" w:lineRule="auto"/>
      </w:pPr>
      <w:r>
        <w:rPr>
          <w:rFonts w:ascii="Arial Unicode MS" w:hAnsi="Arial Unicode MS" w:eastAsia="Arial Unicode MS" w:cs="Arial Unicode MS"/>
          <w:b w:val="0"/>
          <w:i w:val="0"/>
        </w:rPr>
        <w:t>月次実績は、原則として翌月20日までに会計資料及び予算管理資料へ反映する。</w:t>
      </w:r>
    </w:p>
    <w:p>
      <w:pPr>
        <w:pStyle w:val="ListNumber"/>
        <w:spacing w:before="0" w:after="160" w:line="280" w:lineRule="auto"/>
        <w:ind w:left="720" w:hanging="360"/>
      </w:pPr>
      <w:r>
        <w:rPr>
          <w:rFonts w:ascii="Arial Unicode MS" w:hAnsi="Arial Unicode MS" w:eastAsia="Arial Unicode MS" w:cs="Arial Unicode MS"/>
          <w:b w:val="0"/>
          <w:i w:val="0"/>
        </w:rPr>
        <w:t>管理部は、将来的に月次決算の早期化を図り、取締役会及び経営会議への適時報告ができる体制を整備する。</w:t>
      </w:r>
    </w:p>
    <w:p>
      <w:pPr>
        <w:pStyle w:val="Heading2"/>
      </w:pPr>
      <w:r>
        <w:rPr>
          <w:rFonts w:ascii="Arial Unicode MS" w:hAnsi="Arial Unicode MS" w:eastAsia="Arial Unicode MS" w:cs="Arial Unicode MS"/>
          <w:b w:val="0"/>
          <w:i w:val="0"/>
        </w:rPr>
        <w:t>第15条（事業別実績）</w:t>
      </w:r>
    </w:p>
    <w:p>
      <w:pPr>
        <w:spacing w:before="0" w:after="120" w:line="264" w:lineRule="auto"/>
      </w:pPr>
      <w:r>
        <w:rPr>
          <w:rFonts w:ascii="Arial Unicode MS" w:hAnsi="Arial Unicode MS" w:eastAsia="Arial Unicode MS" w:cs="Arial Unicode MS"/>
          <w:b w:val="0"/>
          <w:i w:val="0"/>
        </w:rPr>
        <w:t>各部門は、担当事業の実績について、事業別管理資料の実績入力、現場登録、案件管理、顧客管理その他該当する資料へ入力又は報告する。</w:t>
      </w:r>
    </w:p>
    <w:p>
      <w:pPr>
        <w:pStyle w:val="ListNumber"/>
        <w:spacing w:before="0" w:after="160" w:line="280" w:lineRule="auto"/>
        <w:ind w:left="720" w:hanging="360"/>
      </w:pPr>
      <w:r>
        <w:rPr>
          <w:rFonts w:ascii="Arial Unicode MS" w:hAnsi="Arial Unicode MS" w:eastAsia="Arial Unicode MS" w:cs="Arial Unicode MS"/>
          <w:b w:val="0"/>
          <w:i w:val="0"/>
        </w:rPr>
        <w:t>管理部は、事業別管理資料の出力_PL、出力_KPI及び全体管理資料の統合DB_PL、統合DB_KPIを確認し、月次決算及び予実管理に反映する。</w:t>
      </w:r>
    </w:p>
    <w:p>
      <w:pPr>
        <w:pStyle w:val="Heading2"/>
      </w:pPr>
      <w:r>
        <w:rPr>
          <w:rFonts w:ascii="Arial Unicode MS" w:hAnsi="Arial Unicode MS" w:eastAsia="Arial Unicode MS" w:cs="Arial Unicode MS"/>
          <w:b w:val="0"/>
          <w:i w:val="0"/>
        </w:rPr>
        <w:t>第16条（月次報告）</w:t>
      </w:r>
    </w:p>
    <w:p>
      <w:pPr>
        <w:spacing w:before="0" w:after="120" w:line="264" w:lineRule="auto"/>
      </w:pPr>
      <w:r>
        <w:rPr>
          <w:rFonts w:ascii="Arial Unicode MS" w:hAnsi="Arial Unicode MS" w:eastAsia="Arial Unicode MS" w:cs="Arial Unicode MS"/>
          <w:b w:val="0"/>
          <w:i w:val="0"/>
        </w:rPr>
        <w:t>月次決算の結果は、経営会議に報告する。</w:t>
      </w:r>
    </w:p>
    <w:p>
      <w:pPr>
        <w:pStyle w:val="ListNumber"/>
        <w:spacing w:before="0" w:after="160" w:line="280" w:lineRule="auto"/>
        <w:ind w:left="720" w:hanging="360"/>
      </w:pPr>
      <w:r>
        <w:rPr>
          <w:rFonts w:ascii="Arial Unicode MS" w:hAnsi="Arial Unicode MS" w:eastAsia="Arial Unicode MS" w:cs="Arial Unicode MS"/>
          <w:b w:val="0"/>
          <w:i w:val="0"/>
        </w:rPr>
        <w:t>重要な差異、通期業績見込への影響、資金繰りへの影響がある場合は、取締役会に報告する。</w:t>
      </w:r>
    </w:p>
    <w:p>
      <w:pPr>
        <w:pStyle w:val="Heading1"/>
      </w:pPr>
      <w:r>
        <w:rPr>
          <w:rFonts w:ascii="Arial Unicode MS" w:hAnsi="Arial Unicode MS" w:eastAsia="Arial Unicode MS" w:cs="Arial Unicode MS"/>
          <w:b w:val="0"/>
          <w:i w:val="0"/>
        </w:rPr>
        <w:t>第5章 年度決算</w:t>
      </w:r>
    </w:p>
    <w:p>
      <w:pPr>
        <w:pStyle w:val="Heading2"/>
      </w:pPr>
      <w:r>
        <w:rPr>
          <w:rFonts w:ascii="Arial Unicode MS" w:hAnsi="Arial Unicode MS" w:eastAsia="Arial Unicode MS" w:cs="Arial Unicode MS"/>
          <w:b w:val="0"/>
          <w:i w:val="0"/>
        </w:rPr>
        <w:t>第17条（年度決算）</w:t>
      </w:r>
    </w:p>
    <w:p>
      <w:pPr>
        <w:spacing w:before="0" w:after="120" w:line="264" w:lineRule="auto"/>
      </w:pPr>
      <w:r>
        <w:rPr>
          <w:rFonts w:ascii="Arial Unicode MS" w:hAnsi="Arial Unicode MS" w:eastAsia="Arial Unicode MS" w:cs="Arial Unicode MS"/>
          <w:b w:val="0"/>
          <w:i w:val="0"/>
        </w:rPr>
        <w:t>管理部は、事業年度終了後、法令及び会計基準に従い、年度決算を実施する。</w:t>
      </w:r>
    </w:p>
    <w:p>
      <w:pPr>
        <w:pStyle w:val="Heading2"/>
      </w:pPr>
      <w:r>
        <w:rPr>
          <w:rFonts w:ascii="Arial Unicode MS" w:hAnsi="Arial Unicode MS" w:eastAsia="Arial Unicode MS" w:cs="Arial Unicode MS"/>
          <w:b w:val="0"/>
          <w:i w:val="0"/>
        </w:rPr>
        <w:t>第18条（外部専門家との連携）</w:t>
      </w:r>
    </w:p>
    <w:p>
      <w:pPr>
        <w:spacing w:before="0" w:after="120" w:line="264" w:lineRule="auto"/>
      </w:pPr>
      <w:r>
        <w:rPr>
          <w:rFonts w:ascii="Arial Unicode MS" w:hAnsi="Arial Unicode MS" w:eastAsia="Arial Unicode MS" w:cs="Arial Unicode MS"/>
          <w:b w:val="0"/>
          <w:i w:val="0"/>
        </w:rPr>
        <w:t>年度決算、税務申告、監査対応その他専門的な確認が必要な事項については、税理士、監査法人その他外部専門家と連携する。</w:t>
      </w:r>
    </w:p>
    <w:p>
      <w:pPr>
        <w:pStyle w:val="ListNumber"/>
        <w:spacing w:before="0" w:after="160" w:line="280" w:lineRule="auto"/>
        <w:ind w:left="720" w:hanging="360"/>
      </w:pPr>
      <w:r>
        <w:rPr>
          <w:rFonts w:ascii="Arial Unicode MS" w:hAnsi="Arial Unicode MS" w:eastAsia="Arial Unicode MS" w:cs="Arial Unicode MS"/>
          <w:b w:val="0"/>
          <w:i w:val="0"/>
        </w:rPr>
        <w:t>外部専門家へ業務を委託する場合であっても、会社は、委託結果を確認し、必要な資料及び説明を保存する。</w:t>
      </w:r>
    </w:p>
    <w:p>
      <w:pPr>
        <w:pStyle w:val="Heading1"/>
      </w:pPr>
      <w:r>
        <w:rPr>
          <w:rFonts w:ascii="Arial Unicode MS" w:hAnsi="Arial Unicode MS" w:eastAsia="Arial Unicode MS" w:cs="Arial Unicode MS"/>
          <w:b w:val="0"/>
          <w:i w:val="0"/>
        </w:rPr>
        <w:t>第6章 資料保存</w:t>
      </w:r>
    </w:p>
    <w:p>
      <w:pPr>
        <w:pStyle w:val="Heading2"/>
      </w:pPr>
      <w:r>
        <w:rPr>
          <w:rFonts w:ascii="Arial Unicode MS" w:hAnsi="Arial Unicode MS" w:eastAsia="Arial Unicode MS" w:cs="Arial Unicode MS"/>
          <w:b w:val="0"/>
          <w:i w:val="0"/>
        </w:rPr>
        <w:t>第19条（会計資料の保存）</w:t>
      </w:r>
    </w:p>
    <w:p>
      <w:pPr>
        <w:spacing w:before="0" w:after="120" w:line="264" w:lineRule="auto"/>
      </w:pPr>
      <w:r>
        <w:rPr>
          <w:rFonts w:ascii="Arial Unicode MS" w:hAnsi="Arial Unicode MS" w:eastAsia="Arial Unicode MS" w:cs="Arial Unicode MS"/>
          <w:b w:val="0"/>
          <w:i w:val="0"/>
        </w:rPr>
        <w:t>会計帳簿、証憑、決算資料、月次資料、予実管理資料、税務申告資料その他経理関係資料は、管理部が保存管理する。</w:t>
      </w:r>
    </w:p>
    <w:p>
      <w:pPr>
        <w:pStyle w:val="Heading2"/>
      </w:pPr>
      <w:r>
        <w:rPr>
          <w:rFonts w:ascii="Arial Unicode MS" w:hAnsi="Arial Unicode MS" w:eastAsia="Arial Unicode MS" w:cs="Arial Unicode MS"/>
          <w:b w:val="0"/>
          <w:i w:val="0"/>
        </w:rPr>
        <w:t>第20条（保存期間）</w:t>
      </w:r>
    </w:p>
    <w:p>
      <w:pPr>
        <w:spacing w:before="0" w:after="120" w:line="264" w:lineRule="auto"/>
      </w:pPr>
      <w:r>
        <w:rPr>
          <w:rFonts w:ascii="Arial Unicode MS" w:hAnsi="Arial Unicode MS" w:eastAsia="Arial Unicode MS" w:cs="Arial Unicode MS"/>
          <w:b w:val="0"/>
          <w:i w:val="0"/>
        </w:rPr>
        <w:t>経理関係資料の保存期間は、法令に定める期間又は文書管理規程に定める期間のいずれか長い期間とする。</w:t>
      </w:r>
    </w:p>
    <w:p>
      <w:pPr>
        <w:pStyle w:val="Heading1"/>
      </w:pPr>
      <w:r>
        <w:rPr>
          <w:rFonts w:ascii="Arial Unicode MS" w:hAnsi="Arial Unicode MS" w:eastAsia="Arial Unicode MS" w:cs="Arial Unicode MS"/>
          <w:b w:val="0"/>
          <w:i w:val="0"/>
        </w:rPr>
        <w:t>第7章 改廃</w:t>
      </w:r>
    </w:p>
    <w:p>
      <w:pPr>
        <w:pStyle w:val="Heading2"/>
      </w:pPr>
      <w:r>
        <w:rPr>
          <w:rFonts w:ascii="Arial Unicode MS" w:hAnsi="Arial Unicode MS" w:eastAsia="Arial Unicode MS" w:cs="Arial Unicode MS"/>
          <w:b w:val="0"/>
          <w:i w:val="0"/>
        </w:rPr>
        <w:t>第21条（改廃）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使用している会計システム</w:t>
      </w:r>
    </w:p>
    <w:p>
      <w:pPr>
        <w:pStyle w:val="ListBullet"/>
        <w:spacing w:before="0" w:after="160" w:line="280" w:lineRule="auto"/>
        <w:ind w:left="720" w:hanging="360"/>
      </w:pPr>
      <w:r>
        <w:rPr>
          <w:rFonts w:ascii="Arial Unicode MS" w:hAnsi="Arial Unicode MS" w:eastAsia="Arial Unicode MS" w:cs="Arial Unicode MS"/>
          <w:b w:val="0"/>
          <w:i w:val="0"/>
        </w:rPr>
        <w:t>税理士又は会計事務所の関与範囲</w:t>
      </w:r>
    </w:p>
    <w:p>
      <w:pPr>
        <w:pStyle w:val="ListBullet"/>
        <w:spacing w:before="0" w:after="160" w:line="280" w:lineRule="auto"/>
        <w:ind w:left="720" w:hanging="360"/>
      </w:pPr>
      <w:r>
        <w:rPr>
          <w:rFonts w:ascii="Arial Unicode MS" w:hAnsi="Arial Unicode MS" w:eastAsia="Arial Unicode MS" w:cs="Arial Unicode MS"/>
          <w:b w:val="0"/>
          <w:i w:val="0"/>
        </w:rPr>
        <w:t>月次決算の具体的な作業担当者</w:t>
      </w:r>
    </w:p>
    <w:p>
      <w:pPr>
        <w:pStyle w:val="ListBullet"/>
        <w:spacing w:before="0" w:after="160" w:line="280" w:lineRule="auto"/>
        <w:ind w:left="720" w:hanging="360"/>
      </w:pPr>
      <w:r>
        <w:rPr>
          <w:rFonts w:ascii="Arial Unicode MS" w:hAnsi="Arial Unicode MS" w:eastAsia="Arial Unicode MS" w:cs="Arial Unicode MS"/>
          <w:b w:val="0"/>
          <w:i w:val="0"/>
        </w:rPr>
        <w:t>売上計上基準の事業別詳細</w:t>
      </w:r>
    </w:p>
    <w:p>
      <w:pPr>
        <w:pStyle w:val="ListBullet"/>
        <w:spacing w:before="0" w:after="160" w:line="280" w:lineRule="auto"/>
        <w:ind w:left="720" w:hanging="360"/>
      </w:pPr>
      <w:r>
        <w:rPr>
          <w:rFonts w:ascii="Arial Unicode MS" w:hAnsi="Arial Unicode MS" w:eastAsia="Arial Unicode MS" w:cs="Arial Unicode MS"/>
          <w:b w:val="0"/>
          <w:i w:val="0"/>
        </w:rPr>
        <w:t>未払費用、前払費用、減価償却、引当金の月次処理方針</w:t>
      </w:r>
    </w:p>
    <w:p>
      <w:pPr>
        <w:pStyle w:val="ListBullet"/>
        <w:spacing w:before="0" w:after="160" w:line="280" w:lineRule="auto"/>
        <w:ind w:left="720" w:hanging="360"/>
      </w:pPr>
      <w:r>
        <w:rPr>
          <w:rFonts w:ascii="Arial Unicode MS" w:hAnsi="Arial Unicode MS" w:eastAsia="Arial Unicode MS" w:cs="Arial Unicode MS"/>
          <w:b w:val="0"/>
          <w:i w:val="0"/>
        </w:rPr>
        <w:t>経理チェック担当者を伊藤翔・柿塚以外に置けるか</w:t>
      </w:r>
    </w:p>
    <w:p>
      <w:pPr>
        <w:pStyle w:val="ListBullet"/>
        <w:spacing w:before="0" w:after="160" w:line="280" w:lineRule="auto"/>
        <w:ind w:left="720" w:hanging="360"/>
      </w:pPr>
      <w:r>
        <w:rPr>
          <w:rFonts w:ascii="Arial Unicode MS" w:hAnsi="Arial Unicode MS" w:eastAsia="Arial Unicode MS" w:cs="Arial Unicode MS"/>
          <w:b w:val="0"/>
          <w:i w:val="0"/>
        </w:rPr>
        <w:t>証憑保存方法と保存場所</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経理実務は伊藤翔及び柿塚が担当する。</w:t>
      </w:r>
    </w:p>
    <w:p>
      <w:pPr>
        <w:pStyle w:val="ListBullet"/>
        <w:spacing w:before="0" w:after="160" w:line="280" w:lineRule="auto"/>
        <w:ind w:left="720" w:hanging="360"/>
      </w:pPr>
      <w:r>
        <w:rPr>
          <w:rFonts w:ascii="Arial Unicode MS" w:hAnsi="Arial Unicode MS" w:eastAsia="Arial Unicode MS" w:cs="Arial Unicode MS"/>
          <w:b w:val="0"/>
          <w:i w:val="0"/>
        </w:rPr>
        <w:t>支払、銀行振込、インターネットバンキング承認は伊藤翔が行う。</w:t>
      </w:r>
    </w:p>
    <w:p>
      <w:pPr>
        <w:pStyle w:val="ListBullet"/>
        <w:spacing w:before="0" w:after="160" w:line="280" w:lineRule="auto"/>
        <w:ind w:left="720" w:hanging="360"/>
      </w:pPr>
      <w:r>
        <w:rPr>
          <w:rFonts w:ascii="Arial Unicode MS" w:hAnsi="Arial Unicode MS" w:eastAsia="Arial Unicode MS" w:cs="Arial Unicode MS"/>
          <w:b w:val="0"/>
          <w:i w:val="0"/>
        </w:rPr>
        <w:t>経費精算はマネーフォワードを使用している。</w:t>
      </w:r>
    </w:p>
    <w:p>
      <w:pPr>
        <w:pStyle w:val="ListBullet"/>
        <w:spacing w:before="0" w:after="160" w:line="280" w:lineRule="auto"/>
        <w:ind w:left="720" w:hanging="360"/>
      </w:pPr>
      <w:r>
        <w:rPr>
          <w:rFonts w:ascii="Arial Unicode MS" w:hAnsi="Arial Unicode MS" w:eastAsia="Arial Unicode MS" w:cs="Arial Unicode MS"/>
          <w:b w:val="0"/>
          <w:i w:val="0"/>
        </w:rPr>
        <w:t>月次実績は翌月20日までに反映する。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経理規程（ドラフト）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経理規程（ドラフト）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