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規程管理規程（ドラフト）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制定日：YYYY年MM月DD日</w:t>
      </w:r>
    </w:p>
    <w:p>
      <w:pPr>
        <w:spacing w:before="0" w:after="120" w:line="264" w:lineRule="auto"/>
      </w:pPr>
      <w:r>
        <w:rPr>
          <w:rFonts w:ascii="Arial Unicode MS" w:hAnsi="Arial Unicode MS" w:eastAsia="Arial Unicode MS" w:cs="Arial Unicode MS"/>
          <w:b w:val="0"/>
          <w:i w:val="0"/>
        </w:rPr>
        <w:t>改定日：-</w:t>
      </w:r>
    </w:p>
    <w:p>
      <w:pPr>
        <w:spacing w:before="0" w:after="120" w:line="264" w:lineRule="auto"/>
      </w:pPr>
      <w:r>
        <w:rPr>
          <w:rFonts w:ascii="Arial Unicode MS" w:hAnsi="Arial Unicode MS" w:eastAsia="Arial Unicode MS" w:cs="Arial Unicode MS"/>
          <w:b w:val="0"/>
          <w:i w:val="0"/>
        </w:rPr>
        <w:t>主管部署：管理部</w:t>
      </w:r>
    </w:p>
    <w:p>
      <w:pPr>
        <w:spacing w:before="0" w:after="120" w:line="264" w:lineRule="auto"/>
      </w:pPr>
      <w:r>
        <w:rPr>
          <w:rFonts w:ascii="Arial Unicode MS" w:hAnsi="Arial Unicode MS" w:eastAsia="Arial Unicode MS" w:cs="Arial Unicode MS"/>
          <w:b w:val="0"/>
          <w:i w:val="0"/>
        </w:rPr>
        <w:t>承認機関：取締役会</w:t>
      </w:r>
    </w:p>
    <w:p>
      <w:pPr>
        <w:pStyle w:val="Heading1"/>
      </w:pPr>
      <w:r>
        <w:rPr>
          <w:rFonts w:ascii="Arial Unicode MS" w:hAnsi="Arial Unicode MS" w:eastAsia="Arial Unicode MS" w:cs="Arial Unicode MS"/>
          <w:b w:val="0"/>
          <w:i w:val="0"/>
        </w:rPr>
        <w:t>第1章 総則</w:t>
      </w:r>
    </w:p>
    <w:p>
      <w:pPr>
        <w:pStyle w:val="Heading2"/>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本規程は、株式会社MoMoにおける社内規程等の制定、改廃、周知、保存及び管理に関する基本事項を定め、社内規程等を体系的かつ適切に管理することを目的とする。</w:t>
      </w:r>
    </w:p>
    <w:p>
      <w:pPr>
        <w:pStyle w:val="Heading2"/>
      </w:pPr>
      <w:r>
        <w:rPr>
          <w:rFonts w:ascii="Arial Unicode MS" w:hAnsi="Arial Unicode MS" w:eastAsia="Arial Unicode MS" w:cs="Arial Unicode MS"/>
          <w:b w:val="0"/>
          <w:i w:val="0"/>
        </w:rPr>
        <w:t>第2条（定義）</w:t>
      </w:r>
    </w:p>
    <w:p>
      <w:pPr>
        <w:spacing w:before="0" w:after="120" w:line="264" w:lineRule="auto"/>
      </w:pPr>
      <w:r>
        <w:rPr>
          <w:rFonts w:ascii="Arial Unicode MS" w:hAnsi="Arial Unicode MS" w:eastAsia="Arial Unicode MS" w:cs="Arial Unicode MS"/>
          <w:b w:val="0"/>
          <w:i w:val="0"/>
        </w:rPr>
        <w:t>本規程において社内規程等とは、会社の組織、業務、権限、手続、基準その他業務運営に関する社内ルールをいう。</w:t>
      </w:r>
    </w:p>
    <w:p>
      <w:pPr>
        <w:pStyle w:val="ListNumber"/>
        <w:spacing w:before="0" w:after="160" w:line="280" w:lineRule="auto"/>
        <w:ind w:left="720" w:hanging="360"/>
      </w:pPr>
      <w:r>
        <w:rPr>
          <w:rFonts w:ascii="Arial Unicode MS" w:hAnsi="Arial Unicode MS" w:eastAsia="Arial Unicode MS" w:cs="Arial Unicode MS"/>
          <w:b w:val="0"/>
          <w:i w:val="0"/>
        </w:rPr>
        <w:t>社内規程等には、規程、規則、細則、基準、要領、マニュアル、様式その他これらに準ずる文書を含む。</w:t>
      </w:r>
    </w:p>
    <w:p>
      <w:pPr>
        <w:pStyle w:val="Heading1"/>
      </w:pPr>
      <w:r>
        <w:rPr>
          <w:rFonts w:ascii="Arial Unicode MS" w:hAnsi="Arial Unicode MS" w:eastAsia="Arial Unicode MS" w:cs="Arial Unicode MS"/>
          <w:b w:val="0"/>
          <w:i w:val="0"/>
        </w:rPr>
        <w:t>第2章 管理体制</w:t>
      </w:r>
    </w:p>
    <w:p>
      <w:pPr>
        <w:pStyle w:val="Heading2"/>
      </w:pPr>
      <w:r>
        <w:rPr>
          <w:rFonts w:ascii="Arial Unicode MS" w:hAnsi="Arial Unicode MS" w:eastAsia="Arial Unicode MS" w:cs="Arial Unicode MS"/>
          <w:b w:val="0"/>
          <w:i w:val="0"/>
        </w:rPr>
        <w:t>第3条（主管部署）</w:t>
      </w:r>
    </w:p>
    <w:p>
      <w:pPr>
        <w:spacing w:before="0" w:after="120" w:line="264" w:lineRule="auto"/>
      </w:pPr>
      <w:r>
        <w:rPr>
          <w:rFonts w:ascii="Arial Unicode MS" w:hAnsi="Arial Unicode MS" w:eastAsia="Arial Unicode MS" w:cs="Arial Unicode MS"/>
          <w:b w:val="0"/>
          <w:i w:val="0"/>
        </w:rPr>
        <w:t>社内規程等の管理主管部署は、管理部とする。</w:t>
      </w:r>
    </w:p>
    <w:p>
      <w:pPr>
        <w:pStyle w:val="Heading2"/>
      </w:pPr>
      <w:r>
        <w:rPr>
          <w:rFonts w:ascii="Arial Unicode MS" w:hAnsi="Arial Unicode MS" w:eastAsia="Arial Unicode MS" w:cs="Arial Unicode MS"/>
          <w:b w:val="0"/>
          <w:i w:val="0"/>
        </w:rPr>
        <w:t>第4条（管理主管部署の役割）</w:t>
      </w:r>
    </w:p>
    <w:p>
      <w:pPr>
        <w:spacing w:before="0" w:after="120" w:line="264" w:lineRule="auto"/>
      </w:pPr>
      <w:r>
        <w:rPr>
          <w:rFonts w:ascii="Arial Unicode MS" w:hAnsi="Arial Unicode MS" w:eastAsia="Arial Unicode MS" w:cs="Arial Unicode MS"/>
          <w:b w:val="0"/>
          <w:i w:val="0"/>
        </w:rPr>
        <w:t>管理部は、次の事項を行う。</w:t>
      </w:r>
    </w:p>
    <w:p>
      <w:pPr>
        <w:pStyle w:val="ListNumber"/>
        <w:spacing w:before="0" w:after="160" w:line="280" w:lineRule="auto"/>
        <w:ind w:left="720" w:hanging="360"/>
      </w:pPr>
      <w:r>
        <w:rPr>
          <w:rFonts w:ascii="Arial Unicode MS" w:hAnsi="Arial Unicode MS" w:eastAsia="Arial Unicode MS" w:cs="Arial Unicode MS"/>
          <w:b w:val="0"/>
          <w:i w:val="0"/>
        </w:rPr>
        <w:t>社内規程等の体系及び一覧の管理</w:t>
      </w:r>
    </w:p>
    <w:p>
      <w:pPr>
        <w:pStyle w:val="ListNumber"/>
        <w:spacing w:before="0" w:after="160" w:line="280" w:lineRule="auto"/>
        <w:ind w:left="720" w:hanging="360"/>
      </w:pPr>
      <w:r>
        <w:rPr>
          <w:rFonts w:ascii="Arial Unicode MS" w:hAnsi="Arial Unicode MS" w:eastAsia="Arial Unicode MS" w:cs="Arial Unicode MS"/>
          <w:b w:val="0"/>
          <w:i w:val="0"/>
        </w:rPr>
        <w:t>制定、改廃手続の確認</w:t>
      </w:r>
    </w:p>
    <w:p>
      <w:pPr>
        <w:pStyle w:val="ListNumber"/>
        <w:spacing w:before="0" w:after="160" w:line="280" w:lineRule="auto"/>
        <w:ind w:left="720" w:hanging="360"/>
      </w:pPr>
      <w:r>
        <w:rPr>
          <w:rFonts w:ascii="Arial Unicode MS" w:hAnsi="Arial Unicode MS" w:eastAsia="Arial Unicode MS" w:cs="Arial Unicode MS"/>
          <w:b w:val="0"/>
          <w:i w:val="0"/>
        </w:rPr>
        <w:t>規程番号、制定日、改定日、主管部署、承認機関の管理</w:t>
      </w:r>
    </w:p>
    <w:p>
      <w:pPr>
        <w:pStyle w:val="ListNumber"/>
        <w:spacing w:before="0" w:after="160" w:line="280" w:lineRule="auto"/>
        <w:ind w:left="720" w:hanging="360"/>
      </w:pPr>
      <w:r>
        <w:rPr>
          <w:rFonts w:ascii="Arial Unicode MS" w:hAnsi="Arial Unicode MS" w:eastAsia="Arial Unicode MS" w:cs="Arial Unicode MS"/>
          <w:b w:val="0"/>
          <w:i w:val="0"/>
        </w:rPr>
        <w:t>最新版の保存及び旧版の保管</w:t>
      </w:r>
    </w:p>
    <w:p>
      <w:pPr>
        <w:pStyle w:val="ListNumber"/>
        <w:spacing w:before="0" w:after="160" w:line="280" w:lineRule="auto"/>
        <w:ind w:left="720" w:hanging="360"/>
      </w:pPr>
      <w:r>
        <w:rPr>
          <w:rFonts w:ascii="Arial Unicode MS" w:hAnsi="Arial Unicode MS" w:eastAsia="Arial Unicode MS" w:cs="Arial Unicode MS"/>
          <w:b w:val="0"/>
          <w:i w:val="0"/>
        </w:rPr>
        <w:t>社内への周知</w:t>
      </w:r>
    </w:p>
    <w:p>
      <w:pPr>
        <w:pStyle w:val="ListNumber"/>
        <w:spacing w:before="0" w:after="160" w:line="280" w:lineRule="auto"/>
        <w:ind w:left="720" w:hanging="360"/>
      </w:pPr>
      <w:r>
        <w:rPr>
          <w:rFonts w:ascii="Arial Unicode MS" w:hAnsi="Arial Unicode MS" w:eastAsia="Arial Unicode MS" w:cs="Arial Unicode MS"/>
          <w:b w:val="0"/>
          <w:i w:val="0"/>
        </w:rPr>
        <w:t>定期的な見直し状況の確認</w:t>
      </w:r>
    </w:p>
    <w:p>
      <w:pPr>
        <w:pStyle w:val="ListNumber"/>
        <w:spacing w:before="0" w:after="160" w:line="280" w:lineRule="auto"/>
        <w:ind w:left="720" w:hanging="360"/>
      </w:pPr>
      <w:r>
        <w:rPr>
          <w:rFonts w:ascii="Arial Unicode MS" w:hAnsi="Arial Unicode MS" w:eastAsia="Arial Unicode MS" w:cs="Arial Unicode MS"/>
          <w:b w:val="0"/>
          <w:i w:val="0"/>
        </w:rPr>
        <w:t>その他社内規程等の管理に必要な事項</w:t>
      </w:r>
    </w:p>
    <w:p>
      <w:pPr>
        <w:pStyle w:val="Heading1"/>
      </w:pPr>
      <w:r>
        <w:rPr>
          <w:rFonts w:ascii="Arial Unicode MS" w:hAnsi="Arial Unicode MS" w:eastAsia="Arial Unicode MS" w:cs="Arial Unicode MS"/>
          <w:b w:val="0"/>
          <w:i w:val="0"/>
        </w:rPr>
        <w:t>第3章 制定及び改廃</w:t>
      </w:r>
    </w:p>
    <w:p>
      <w:pPr>
        <w:pStyle w:val="Heading2"/>
      </w:pPr>
      <w:r>
        <w:rPr>
          <w:rFonts w:ascii="Arial Unicode MS" w:hAnsi="Arial Unicode MS" w:eastAsia="Arial Unicode MS" w:cs="Arial Unicode MS"/>
          <w:b w:val="0"/>
          <w:i w:val="0"/>
        </w:rPr>
        <w:t>第5条（起案）</w:t>
      </w:r>
    </w:p>
    <w:p>
      <w:pPr>
        <w:spacing w:before="0" w:after="120" w:line="264" w:lineRule="auto"/>
      </w:pPr>
      <w:r>
        <w:rPr>
          <w:rFonts w:ascii="Arial Unicode MS" w:hAnsi="Arial Unicode MS" w:eastAsia="Arial Unicode MS" w:cs="Arial Unicode MS"/>
          <w:b w:val="0"/>
          <w:i w:val="0"/>
        </w:rPr>
        <w:t>社内規程等の制定又は改廃は、当該規程等の主管部署が起案する。</w:t>
      </w:r>
    </w:p>
    <w:p>
      <w:pPr>
        <w:pStyle w:val="ListNumber"/>
        <w:spacing w:before="0" w:after="160" w:line="280" w:lineRule="auto"/>
        <w:ind w:left="720" w:hanging="360"/>
      </w:pPr>
      <w:r>
        <w:rPr>
          <w:rFonts w:ascii="Arial Unicode MS" w:hAnsi="Arial Unicode MS" w:eastAsia="Arial Unicode MS" w:cs="Arial Unicode MS"/>
          <w:b w:val="0"/>
          <w:i w:val="0"/>
        </w:rPr>
        <w:t>主管部署が明確でない場合は、管理部が関係部門と協議のうえ主管部署を定める。</w:t>
      </w:r>
    </w:p>
    <w:p>
      <w:pPr>
        <w:pStyle w:val="Heading2"/>
      </w:pPr>
      <w:r>
        <w:rPr>
          <w:rFonts w:ascii="Arial Unicode MS" w:hAnsi="Arial Unicode MS" w:eastAsia="Arial Unicode MS" w:cs="Arial Unicode MS"/>
          <w:b w:val="0"/>
          <w:i w:val="0"/>
        </w:rPr>
        <w:t>第6条（審査）</w:t>
      </w:r>
    </w:p>
    <w:p>
      <w:pPr>
        <w:spacing w:before="0" w:after="120" w:line="264" w:lineRule="auto"/>
      </w:pPr>
      <w:r>
        <w:rPr>
          <w:rFonts w:ascii="Arial Unicode MS" w:hAnsi="Arial Unicode MS" w:eastAsia="Arial Unicode MS" w:cs="Arial Unicode MS"/>
          <w:b w:val="0"/>
          <w:i w:val="0"/>
        </w:rPr>
        <w:t>社内規程等の制定又は重要な改廃を行う場合、起案部署は、管理部による形式確認を受ける。</w:t>
      </w:r>
    </w:p>
    <w:p>
      <w:pPr>
        <w:pStyle w:val="ListNumber"/>
        <w:spacing w:before="0" w:after="160" w:line="280" w:lineRule="auto"/>
        <w:ind w:left="720" w:hanging="360"/>
      </w:pPr>
      <w:r>
        <w:rPr>
          <w:rFonts w:ascii="Arial Unicode MS" w:hAnsi="Arial Unicode MS" w:eastAsia="Arial Unicode MS" w:cs="Arial Unicode MS"/>
          <w:b w:val="0"/>
          <w:i w:val="0"/>
        </w:rPr>
        <w:t>法務、労務、会計、税務その他専門的な確認が必要な場合は、必要に応じて外部専門家の確認を受ける。</w:t>
      </w:r>
    </w:p>
    <w:p>
      <w:pPr>
        <w:pStyle w:val="Heading2"/>
      </w:pPr>
      <w:r>
        <w:rPr>
          <w:rFonts w:ascii="Arial Unicode MS" w:hAnsi="Arial Unicode MS" w:eastAsia="Arial Unicode MS" w:cs="Arial Unicode MS"/>
          <w:b w:val="0"/>
          <w:i w:val="0"/>
        </w:rPr>
        <w:t>第7条（承認）</w:t>
      </w:r>
    </w:p>
    <w:p>
      <w:pPr>
        <w:spacing w:before="0" w:after="120" w:line="264" w:lineRule="auto"/>
      </w:pPr>
      <w:r>
        <w:rPr>
          <w:rFonts w:ascii="Arial Unicode MS" w:hAnsi="Arial Unicode MS" w:eastAsia="Arial Unicode MS" w:cs="Arial Unicode MS"/>
          <w:b w:val="0"/>
          <w:i w:val="0"/>
        </w:rPr>
        <w:t>重要な規程の制定及び改廃は、取締役会の決議により行う。</w:t>
      </w:r>
    </w:p>
    <w:p>
      <w:pPr>
        <w:pStyle w:val="ListNumber"/>
        <w:spacing w:before="0" w:after="160" w:line="280" w:lineRule="auto"/>
        <w:ind w:left="720" w:hanging="360"/>
      </w:pPr>
      <w:r>
        <w:rPr>
          <w:rFonts w:ascii="Arial Unicode MS" w:hAnsi="Arial Unicode MS" w:eastAsia="Arial Unicode MS" w:cs="Arial Unicode MS"/>
          <w:b w:val="0"/>
          <w:i w:val="0"/>
        </w:rPr>
        <w:t>細則、要領、マニュアル、様式その他軽微な社内文書の制定及び改廃は、代表取締役社長又は主管部署の責任者の承認により行うことができる。</w:t>
      </w:r>
    </w:p>
    <w:p>
      <w:pPr>
        <w:pStyle w:val="ListNumber"/>
        <w:spacing w:before="0" w:after="160" w:line="280" w:lineRule="auto"/>
        <w:ind w:left="720" w:hanging="360"/>
      </w:pPr>
      <w:r>
        <w:rPr>
          <w:rFonts w:ascii="Arial Unicode MS" w:hAnsi="Arial Unicode MS" w:eastAsia="Arial Unicode MS" w:cs="Arial Unicode MS"/>
          <w:b w:val="0"/>
          <w:i w:val="0"/>
        </w:rPr>
        <w:t>重要な規程の範囲及び承認基準は、別表「規程承認基準」に定める。</w:t>
      </w:r>
    </w:p>
    <w:p>
      <w:pPr>
        <w:pStyle w:val="Heading1"/>
      </w:pPr>
      <w:r>
        <w:rPr>
          <w:rFonts w:ascii="Arial Unicode MS" w:hAnsi="Arial Unicode MS" w:eastAsia="Arial Unicode MS" w:cs="Arial Unicode MS"/>
          <w:b w:val="0"/>
          <w:i w:val="0"/>
        </w:rPr>
        <w:t>第4章 周知及び運用</w:t>
      </w:r>
    </w:p>
    <w:p>
      <w:pPr>
        <w:pStyle w:val="Heading2"/>
      </w:pPr>
      <w:r>
        <w:rPr>
          <w:rFonts w:ascii="Arial Unicode MS" w:hAnsi="Arial Unicode MS" w:eastAsia="Arial Unicode MS" w:cs="Arial Unicode MS"/>
          <w:b w:val="0"/>
          <w:i w:val="0"/>
        </w:rPr>
        <w:t>第8条（周知）</w:t>
      </w:r>
    </w:p>
    <w:p>
      <w:pPr>
        <w:spacing w:before="0" w:after="120" w:line="264" w:lineRule="auto"/>
      </w:pPr>
      <w:r>
        <w:rPr>
          <w:rFonts w:ascii="Arial Unicode MS" w:hAnsi="Arial Unicode MS" w:eastAsia="Arial Unicode MS" w:cs="Arial Unicode MS"/>
          <w:b w:val="0"/>
          <w:i w:val="0"/>
        </w:rPr>
        <w:t>管理部は、社内規程等の制定又は改廃が行われた場合、速やかに役員及び従業員へ周知する。</w:t>
      </w:r>
    </w:p>
    <w:p>
      <w:pPr>
        <w:pStyle w:val="ListNumber"/>
        <w:spacing w:before="0" w:after="160" w:line="280" w:lineRule="auto"/>
        <w:ind w:left="720" w:hanging="360"/>
      </w:pPr>
      <w:r>
        <w:rPr>
          <w:rFonts w:ascii="Arial Unicode MS" w:hAnsi="Arial Unicode MS" w:eastAsia="Arial Unicode MS" w:cs="Arial Unicode MS"/>
          <w:b w:val="0"/>
          <w:i w:val="0"/>
        </w:rPr>
        <w:t>周知方法は、社内共有フォルダへの掲載、電子メール、社内会議、研修その他適切な方法による。</w:t>
      </w:r>
    </w:p>
    <w:p>
      <w:pPr>
        <w:pStyle w:val="Heading2"/>
      </w:pPr>
      <w:r>
        <w:rPr>
          <w:rFonts w:ascii="Arial Unicode MS" w:hAnsi="Arial Unicode MS" w:eastAsia="Arial Unicode MS" w:cs="Arial Unicode MS"/>
          <w:b w:val="0"/>
          <w:i w:val="0"/>
        </w:rPr>
        <w:t>第9条（遵守）</w:t>
      </w:r>
    </w:p>
    <w:p>
      <w:pPr>
        <w:spacing w:before="0" w:after="120" w:line="264" w:lineRule="auto"/>
      </w:pPr>
      <w:r>
        <w:rPr>
          <w:rFonts w:ascii="Arial Unicode MS" w:hAnsi="Arial Unicode MS" w:eastAsia="Arial Unicode MS" w:cs="Arial Unicode MS"/>
          <w:b w:val="0"/>
          <w:i w:val="0"/>
        </w:rPr>
        <w:t>役員及び従業員は、社内規程等を遵守しなければならない。</w:t>
      </w:r>
    </w:p>
    <w:p>
      <w:pPr>
        <w:pStyle w:val="Heading2"/>
      </w:pPr>
      <w:r>
        <w:rPr>
          <w:rFonts w:ascii="Arial Unicode MS" w:hAnsi="Arial Unicode MS" w:eastAsia="Arial Unicode MS" w:cs="Arial Unicode MS"/>
          <w:b w:val="0"/>
          <w:i w:val="0"/>
        </w:rPr>
        <w:t>第10条（定期見直し）</w:t>
      </w:r>
    </w:p>
    <w:p>
      <w:pPr>
        <w:spacing w:before="0" w:after="120" w:line="264" w:lineRule="auto"/>
      </w:pPr>
      <w:r>
        <w:rPr>
          <w:rFonts w:ascii="Arial Unicode MS" w:hAnsi="Arial Unicode MS" w:eastAsia="Arial Unicode MS" w:cs="Arial Unicode MS"/>
          <w:b w:val="0"/>
          <w:i w:val="0"/>
        </w:rPr>
        <w:t>主管部署は、社内規程等の内容が法令、定款、事業内容、組織体制及び業務実態に適合しているか、原則として年1回確認する。</w:t>
      </w:r>
    </w:p>
    <w:p>
      <w:pPr>
        <w:pStyle w:val="ListNumber"/>
        <w:spacing w:before="0" w:after="160" w:line="280" w:lineRule="auto"/>
        <w:ind w:left="720" w:hanging="360"/>
      </w:pPr>
      <w:r>
        <w:rPr>
          <w:rFonts w:ascii="Arial Unicode MS" w:hAnsi="Arial Unicode MS" w:eastAsia="Arial Unicode MS" w:cs="Arial Unicode MS"/>
          <w:b w:val="0"/>
          <w:i w:val="0"/>
        </w:rPr>
        <w:t>見直しの結果、改定が必要と認められる場合は、速やかに改定手続を行う。</w:t>
      </w:r>
    </w:p>
    <w:p>
      <w:pPr>
        <w:pStyle w:val="Heading1"/>
      </w:pPr>
      <w:r>
        <w:rPr>
          <w:rFonts w:ascii="Arial Unicode MS" w:hAnsi="Arial Unicode MS" w:eastAsia="Arial Unicode MS" w:cs="Arial Unicode MS"/>
          <w:b w:val="0"/>
          <w:i w:val="0"/>
        </w:rPr>
        <w:t>第5章 保存</w:t>
      </w:r>
    </w:p>
    <w:p>
      <w:pPr>
        <w:pStyle w:val="Heading2"/>
      </w:pPr>
      <w:r>
        <w:rPr>
          <w:rFonts w:ascii="Arial Unicode MS" w:hAnsi="Arial Unicode MS" w:eastAsia="Arial Unicode MS" w:cs="Arial Unicode MS"/>
          <w:b w:val="0"/>
          <w:i w:val="0"/>
        </w:rPr>
        <w:t>第11条（最新版管理）</w:t>
      </w:r>
    </w:p>
    <w:p>
      <w:pPr>
        <w:spacing w:before="0" w:after="120" w:line="264" w:lineRule="auto"/>
      </w:pPr>
      <w:r>
        <w:rPr>
          <w:rFonts w:ascii="Arial Unicode MS" w:hAnsi="Arial Unicode MS" w:eastAsia="Arial Unicode MS" w:cs="Arial Unicode MS"/>
          <w:b w:val="0"/>
          <w:i w:val="0"/>
        </w:rPr>
        <w:t>管理部は、社内規程等の最新版を一元管理し、役員及び従業員が必要に応じて確認できる状態にする。</w:t>
      </w:r>
    </w:p>
    <w:p>
      <w:pPr>
        <w:pStyle w:val="Heading2"/>
      </w:pPr>
      <w:r>
        <w:rPr>
          <w:rFonts w:ascii="Arial Unicode MS" w:hAnsi="Arial Unicode MS" w:eastAsia="Arial Unicode MS" w:cs="Arial Unicode MS"/>
          <w:b w:val="0"/>
          <w:i w:val="0"/>
        </w:rPr>
        <w:t>第12条（改定履歴）</w:t>
      </w:r>
    </w:p>
    <w:p>
      <w:pPr>
        <w:spacing w:before="0" w:after="120" w:line="264" w:lineRule="auto"/>
      </w:pPr>
      <w:r>
        <w:rPr>
          <w:rFonts w:ascii="Arial Unicode MS" w:hAnsi="Arial Unicode MS" w:eastAsia="Arial Unicode MS" w:cs="Arial Unicode MS"/>
          <w:b w:val="0"/>
          <w:i w:val="0"/>
        </w:rPr>
        <w:t>管理部は、社内規程等の制定日、改定日、改定内容、承認機関、施行日を記録した改定履歴を管理する。</w:t>
      </w:r>
    </w:p>
    <w:p>
      <w:pPr>
        <w:pStyle w:val="Heading2"/>
      </w:pPr>
      <w:r>
        <w:rPr>
          <w:rFonts w:ascii="Arial Unicode MS" w:hAnsi="Arial Unicode MS" w:eastAsia="Arial Unicode MS" w:cs="Arial Unicode MS"/>
          <w:b w:val="0"/>
          <w:i w:val="0"/>
        </w:rPr>
        <w:t>第13条（旧版管理）</w:t>
      </w:r>
    </w:p>
    <w:p>
      <w:pPr>
        <w:spacing w:before="0" w:after="120" w:line="264" w:lineRule="auto"/>
      </w:pPr>
      <w:r>
        <w:rPr>
          <w:rFonts w:ascii="Arial Unicode MS" w:hAnsi="Arial Unicode MS" w:eastAsia="Arial Unicode MS" w:cs="Arial Unicode MS"/>
          <w:b w:val="0"/>
          <w:i w:val="0"/>
        </w:rPr>
        <w:t>管理部は、改定前の社内規程等を旧版として保存する。</w:t>
      </w:r>
    </w:p>
    <w:p>
      <w:pPr>
        <w:pStyle w:val="ListNumber"/>
        <w:spacing w:before="0" w:after="160" w:line="280" w:lineRule="auto"/>
        <w:ind w:left="720" w:hanging="360"/>
      </w:pPr>
      <w:r>
        <w:rPr>
          <w:rFonts w:ascii="Arial Unicode MS" w:hAnsi="Arial Unicode MS" w:eastAsia="Arial Unicode MS" w:cs="Arial Unicode MS"/>
          <w:b w:val="0"/>
          <w:i w:val="0"/>
        </w:rPr>
        <w:t>旧版の保存期間は、原則として10年とする。</w:t>
      </w:r>
    </w:p>
    <w:p>
      <w:pPr>
        <w:pStyle w:val="Heading1"/>
      </w:pPr>
      <w:r>
        <w:rPr>
          <w:rFonts w:ascii="Arial Unicode MS" w:hAnsi="Arial Unicode MS" w:eastAsia="Arial Unicode MS" w:cs="Arial Unicode MS"/>
          <w:b w:val="0"/>
          <w:i w:val="0"/>
        </w:rPr>
        <w:t>第6章 改廃</w:t>
      </w:r>
    </w:p>
    <w:p>
      <w:pPr>
        <w:pStyle w:val="Heading2"/>
      </w:pPr>
      <w:r>
        <w:rPr>
          <w:rFonts w:ascii="Arial Unicode MS" w:hAnsi="Arial Unicode MS" w:eastAsia="Arial Unicode MS" w:cs="Arial Unicode MS"/>
          <w:b w:val="0"/>
          <w:i w:val="0"/>
        </w:rPr>
        <w:t>第14条（改廃）</w:t>
      </w:r>
    </w:p>
    <w:p>
      <w:pPr>
        <w:spacing w:before="0" w:after="120" w:line="264" w:lineRule="auto"/>
      </w:pPr>
      <w:r>
        <w:rPr>
          <w:rFonts w:ascii="Arial Unicode MS" w:hAnsi="Arial Unicode MS" w:eastAsia="Arial Unicode MS" w:cs="Arial Unicode MS"/>
          <w:b w:val="0"/>
          <w:i w:val="0"/>
        </w:rPr>
        <w:t>本規程の制定、改廃は、取締役会の決議による。</w:t>
      </w:r>
    </w:p>
    <w:p>
      <w:pPr>
        <w:pStyle w:val="Heading1"/>
      </w:pPr>
      <w:r>
        <w:rPr>
          <w:rFonts w:ascii="Arial Unicode MS" w:hAnsi="Arial Unicode MS" w:eastAsia="Arial Unicode MS" w:cs="Arial Unicode MS"/>
          <w:b w:val="0"/>
          <w:i w:val="0"/>
        </w:rPr>
        <w:t>附則</w:t>
      </w:r>
    </w:p>
    <w:p>
      <w:pPr>
        <w:spacing w:before="0" w:after="120" w:line="264" w:lineRule="auto"/>
      </w:pPr>
      <w:r>
        <w:rPr>
          <w:rFonts w:ascii="Arial Unicode MS" w:hAnsi="Arial Unicode MS" w:eastAsia="Arial Unicode MS" w:cs="Arial Unicode MS"/>
          <w:b w:val="0"/>
          <w:i w:val="0"/>
        </w:rPr>
        <w:t>本規程は、YYYY年MM月DD日から施行する。</w:t>
      </w:r>
    </w:p>
    <w:p>
      <w:pPr>
        <w:pStyle w:val="Heading1"/>
      </w:pPr>
      <w:r>
        <w:rPr>
          <w:rFonts w:ascii="Arial Unicode MS" w:hAnsi="Arial Unicode MS" w:eastAsia="Arial Unicode MS" w:cs="Arial Unicode MS"/>
          <w:b w:val="0"/>
          <w:i w:val="0"/>
        </w:rPr>
        <w:t>別表：規程承認基準（たたき台）</w:t>
      </w:r>
    </w:p>
    <w:p>
      <w:pPr>
        <w:pStyle w:val="Heading2"/>
      </w:pPr>
      <w:r>
        <w:rPr>
          <w:rFonts w:ascii="Arial Unicode MS" w:hAnsi="Arial Unicode MS" w:eastAsia="Arial Unicode MS" w:cs="Arial Unicode MS"/>
          <w:b w:val="0"/>
          <w:i w:val="0"/>
        </w:rPr>
        <w:t>取締役会承認</w:t>
      </w:r>
    </w:p>
    <w:p>
      <w:pPr>
        <w:pStyle w:val="ListBullet"/>
        <w:spacing w:before="0" w:after="160" w:line="280" w:lineRule="auto"/>
        <w:ind w:left="720" w:hanging="360"/>
      </w:pPr>
      <w:r>
        <w:rPr>
          <w:rFonts w:ascii="Arial Unicode MS" w:hAnsi="Arial Unicode MS" w:eastAsia="Arial Unicode MS" w:cs="Arial Unicode MS"/>
          <w:b w:val="0"/>
          <w:i w:val="0"/>
        </w:rPr>
        <w:t>取締役会規程</w:t>
      </w:r>
    </w:p>
    <w:p>
      <w:pPr>
        <w:pStyle w:val="ListBullet"/>
        <w:spacing w:before="0" w:after="160" w:line="280" w:lineRule="auto"/>
        <w:ind w:left="720" w:hanging="360"/>
      </w:pPr>
      <w:r>
        <w:rPr>
          <w:rFonts w:ascii="Arial Unicode MS" w:hAnsi="Arial Unicode MS" w:eastAsia="Arial Unicode MS" w:cs="Arial Unicode MS"/>
          <w:b w:val="0"/>
          <w:i w:val="0"/>
        </w:rPr>
        <w:t>監査役規程</w:t>
      </w:r>
    </w:p>
    <w:p>
      <w:pPr>
        <w:pStyle w:val="ListBullet"/>
        <w:spacing w:before="0" w:after="160" w:line="280" w:lineRule="auto"/>
        <w:ind w:left="720" w:hanging="360"/>
      </w:pPr>
      <w:r>
        <w:rPr>
          <w:rFonts w:ascii="Arial Unicode MS" w:hAnsi="Arial Unicode MS" w:eastAsia="Arial Unicode MS" w:cs="Arial Unicode MS"/>
          <w:b w:val="0"/>
          <w:i w:val="0"/>
        </w:rPr>
        <w:t>経営会議規程</w:t>
      </w:r>
    </w:p>
    <w:p>
      <w:pPr>
        <w:pStyle w:val="ListBullet"/>
        <w:spacing w:before="0" w:after="160" w:line="280" w:lineRule="auto"/>
        <w:ind w:left="720" w:hanging="360"/>
      </w:pPr>
      <w:r>
        <w:rPr>
          <w:rFonts w:ascii="Arial Unicode MS" w:hAnsi="Arial Unicode MS" w:eastAsia="Arial Unicode MS" w:cs="Arial Unicode MS"/>
          <w:b w:val="0"/>
          <w:i w:val="0"/>
        </w:rPr>
        <w:t>規程管理規程</w:t>
      </w:r>
    </w:p>
    <w:p>
      <w:pPr>
        <w:pStyle w:val="ListBullet"/>
        <w:spacing w:before="0" w:after="160" w:line="280" w:lineRule="auto"/>
        <w:ind w:left="720" w:hanging="360"/>
      </w:pPr>
      <w:r>
        <w:rPr>
          <w:rFonts w:ascii="Arial Unicode MS" w:hAnsi="Arial Unicode MS" w:eastAsia="Arial Unicode MS" w:cs="Arial Unicode MS"/>
          <w:b w:val="0"/>
          <w:i w:val="0"/>
        </w:rPr>
        <w:t>組織規程</w:t>
      </w:r>
    </w:p>
    <w:p>
      <w:pPr>
        <w:pStyle w:val="ListBullet"/>
        <w:spacing w:before="0" w:after="160" w:line="280" w:lineRule="auto"/>
        <w:ind w:left="720" w:hanging="360"/>
      </w:pPr>
      <w:r>
        <w:rPr>
          <w:rFonts w:ascii="Arial Unicode MS" w:hAnsi="Arial Unicode MS" w:eastAsia="Arial Unicode MS" w:cs="Arial Unicode MS"/>
          <w:b w:val="0"/>
          <w:i w:val="0"/>
        </w:rPr>
        <w:t>業務分掌規程</w:t>
      </w:r>
    </w:p>
    <w:p>
      <w:pPr>
        <w:pStyle w:val="ListBullet"/>
        <w:spacing w:before="0" w:after="160" w:line="280" w:lineRule="auto"/>
        <w:ind w:left="720" w:hanging="360"/>
      </w:pPr>
      <w:r>
        <w:rPr>
          <w:rFonts w:ascii="Arial Unicode MS" w:hAnsi="Arial Unicode MS" w:eastAsia="Arial Unicode MS" w:cs="Arial Unicode MS"/>
          <w:b w:val="0"/>
          <w:i w:val="0"/>
        </w:rPr>
        <w:t>職務権限規程</w:t>
      </w:r>
    </w:p>
    <w:p>
      <w:pPr>
        <w:pStyle w:val="ListBullet"/>
        <w:spacing w:before="0" w:after="160" w:line="280" w:lineRule="auto"/>
        <w:ind w:left="720" w:hanging="360"/>
      </w:pPr>
      <w:r>
        <w:rPr>
          <w:rFonts w:ascii="Arial Unicode MS" w:hAnsi="Arial Unicode MS" w:eastAsia="Arial Unicode MS" w:cs="Arial Unicode MS"/>
          <w:b w:val="0"/>
          <w:i w:val="0"/>
        </w:rPr>
        <w:t>稟議規程</w:t>
      </w:r>
    </w:p>
    <w:p>
      <w:pPr>
        <w:pStyle w:val="ListBullet"/>
        <w:spacing w:before="0" w:after="160" w:line="280" w:lineRule="auto"/>
        <w:ind w:left="720" w:hanging="360"/>
      </w:pPr>
      <w:r>
        <w:rPr>
          <w:rFonts w:ascii="Arial Unicode MS" w:hAnsi="Arial Unicode MS" w:eastAsia="Arial Unicode MS" w:cs="Arial Unicode MS"/>
          <w:b w:val="0"/>
          <w:i w:val="0"/>
        </w:rPr>
        <w:t>経理規程</w:t>
      </w:r>
    </w:p>
    <w:p>
      <w:pPr>
        <w:pStyle w:val="ListBullet"/>
        <w:spacing w:before="0" w:after="160" w:line="280" w:lineRule="auto"/>
        <w:ind w:left="720" w:hanging="360"/>
      </w:pPr>
      <w:r>
        <w:rPr>
          <w:rFonts w:ascii="Arial Unicode MS" w:hAnsi="Arial Unicode MS" w:eastAsia="Arial Unicode MS" w:cs="Arial Unicode MS"/>
          <w:b w:val="0"/>
          <w:i w:val="0"/>
        </w:rPr>
        <w:t>予算管理規程</w:t>
      </w:r>
    </w:p>
    <w:p>
      <w:pPr>
        <w:pStyle w:val="ListBullet"/>
        <w:spacing w:before="0" w:after="160" w:line="280" w:lineRule="auto"/>
        <w:ind w:left="720" w:hanging="360"/>
      </w:pPr>
      <w:r>
        <w:rPr>
          <w:rFonts w:ascii="Arial Unicode MS" w:hAnsi="Arial Unicode MS" w:eastAsia="Arial Unicode MS" w:cs="Arial Unicode MS"/>
          <w:b w:val="0"/>
          <w:i w:val="0"/>
        </w:rPr>
        <w:t>内部監査規程</w:t>
      </w:r>
    </w:p>
    <w:p>
      <w:pPr>
        <w:pStyle w:val="ListBullet"/>
        <w:spacing w:before="0" w:after="160" w:line="280" w:lineRule="auto"/>
        <w:ind w:left="720" w:hanging="360"/>
      </w:pPr>
      <w:r>
        <w:rPr>
          <w:rFonts w:ascii="Arial Unicode MS" w:hAnsi="Arial Unicode MS" w:eastAsia="Arial Unicode MS" w:cs="Arial Unicode MS"/>
          <w:b w:val="0"/>
          <w:i w:val="0"/>
        </w:rPr>
        <w:t>リスク・コンプライアンス管理規程</w:t>
      </w:r>
    </w:p>
    <w:p>
      <w:pPr>
        <w:pStyle w:val="ListBullet"/>
        <w:spacing w:before="0" w:after="160" w:line="280" w:lineRule="auto"/>
        <w:ind w:left="720" w:hanging="360"/>
      </w:pPr>
      <w:r>
        <w:rPr>
          <w:rFonts w:ascii="Arial Unicode MS" w:hAnsi="Arial Unicode MS" w:eastAsia="Arial Unicode MS" w:cs="Arial Unicode MS"/>
          <w:b w:val="0"/>
          <w:i w:val="0"/>
        </w:rPr>
        <w:t>関連当事者取引管理規程</w:t>
      </w:r>
    </w:p>
    <w:p>
      <w:pPr>
        <w:pStyle w:val="ListBullet"/>
        <w:spacing w:before="0" w:after="160" w:line="280" w:lineRule="auto"/>
        <w:ind w:left="720" w:hanging="360"/>
      </w:pPr>
      <w:r>
        <w:rPr>
          <w:rFonts w:ascii="Arial Unicode MS" w:hAnsi="Arial Unicode MS" w:eastAsia="Arial Unicode MS" w:cs="Arial Unicode MS"/>
          <w:b w:val="0"/>
          <w:i w:val="0"/>
        </w:rPr>
        <w:t>その他経営管理上重要な規程</w:t>
      </w:r>
    </w:p>
    <w:p>
      <w:pPr>
        <w:pStyle w:val="Heading2"/>
      </w:pPr>
      <w:r>
        <w:rPr>
          <w:rFonts w:ascii="Arial Unicode MS" w:hAnsi="Arial Unicode MS" w:eastAsia="Arial Unicode MS" w:cs="Arial Unicode MS"/>
          <w:b w:val="0"/>
          <w:i w:val="0"/>
        </w:rPr>
        <w:t>代表取締役社長承認</w:t>
      </w:r>
    </w:p>
    <w:p>
      <w:pPr>
        <w:pStyle w:val="ListBullet"/>
        <w:spacing w:before="0" w:after="160" w:line="280" w:lineRule="auto"/>
        <w:ind w:left="720" w:hanging="360"/>
      </w:pPr>
      <w:r>
        <w:rPr>
          <w:rFonts w:ascii="Arial Unicode MS" w:hAnsi="Arial Unicode MS" w:eastAsia="Arial Unicode MS" w:cs="Arial Unicode MS"/>
          <w:b w:val="0"/>
          <w:i w:val="0"/>
        </w:rPr>
        <w:t>業務細則</w:t>
      </w:r>
    </w:p>
    <w:p>
      <w:pPr>
        <w:pStyle w:val="ListBullet"/>
        <w:spacing w:before="0" w:after="160" w:line="280" w:lineRule="auto"/>
        <w:ind w:left="720" w:hanging="360"/>
      </w:pPr>
      <w:r>
        <w:rPr>
          <w:rFonts w:ascii="Arial Unicode MS" w:hAnsi="Arial Unicode MS" w:eastAsia="Arial Unicode MS" w:cs="Arial Unicode MS"/>
          <w:b w:val="0"/>
          <w:i w:val="0"/>
        </w:rPr>
        <w:t>運用要領</w:t>
      </w:r>
    </w:p>
    <w:p>
      <w:pPr>
        <w:pStyle w:val="ListBullet"/>
        <w:spacing w:before="0" w:after="160" w:line="280" w:lineRule="auto"/>
        <w:ind w:left="720" w:hanging="360"/>
      </w:pPr>
      <w:r>
        <w:rPr>
          <w:rFonts w:ascii="Arial Unicode MS" w:hAnsi="Arial Unicode MS" w:eastAsia="Arial Unicode MS" w:cs="Arial Unicode MS"/>
          <w:b w:val="0"/>
          <w:i w:val="0"/>
        </w:rPr>
        <w:t>マニュアル</w:t>
      </w:r>
    </w:p>
    <w:p>
      <w:pPr>
        <w:pStyle w:val="ListBullet"/>
        <w:spacing w:before="0" w:after="160" w:line="280" w:lineRule="auto"/>
        <w:ind w:left="720" w:hanging="360"/>
      </w:pPr>
      <w:r>
        <w:rPr>
          <w:rFonts w:ascii="Arial Unicode MS" w:hAnsi="Arial Unicode MS" w:eastAsia="Arial Unicode MS" w:cs="Arial Unicode MS"/>
          <w:b w:val="0"/>
          <w:i w:val="0"/>
        </w:rPr>
        <w:t>様式</w:t>
      </w:r>
    </w:p>
    <w:p>
      <w:pPr>
        <w:pStyle w:val="ListBullet"/>
        <w:spacing w:before="0" w:after="160" w:line="280" w:lineRule="auto"/>
        <w:ind w:left="720" w:hanging="360"/>
      </w:pPr>
      <w:r>
        <w:rPr>
          <w:rFonts w:ascii="Arial Unicode MS" w:hAnsi="Arial Unicode MS" w:eastAsia="Arial Unicode MS" w:cs="Arial Unicode MS"/>
          <w:b w:val="0"/>
          <w:i w:val="0"/>
        </w:rPr>
        <w:t>軽微な文言修正</w:t>
      </w:r>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規程類の保存場所</w:t>
      </w:r>
    </w:p>
    <w:p>
      <w:pPr>
        <w:pStyle w:val="ListBullet"/>
        <w:spacing w:before="0" w:after="160" w:line="280" w:lineRule="auto"/>
        <w:ind w:left="720" w:hanging="360"/>
      </w:pPr>
      <w:r>
        <w:rPr>
          <w:rFonts w:ascii="Arial Unicode MS" w:hAnsi="Arial Unicode MS" w:eastAsia="Arial Unicode MS" w:cs="Arial Unicode MS"/>
          <w:b w:val="0"/>
          <w:i w:val="0"/>
        </w:rPr>
        <w:t>旧版保存期間を10年でよいか</w:t>
      </w:r>
    </w:p>
    <w:p>
      <w:pPr>
        <w:pStyle w:val="ListBullet"/>
        <w:spacing w:before="0" w:after="160" w:line="280" w:lineRule="auto"/>
        <w:ind w:left="720" w:hanging="360"/>
      </w:pPr>
      <w:r>
        <w:rPr>
          <w:rFonts w:ascii="Arial Unicode MS" w:hAnsi="Arial Unicode MS" w:eastAsia="Arial Unicode MS" w:cs="Arial Unicode MS"/>
          <w:b w:val="0"/>
          <w:i w:val="0"/>
        </w:rPr>
        <w:t>規程番号の採番ルール</w:t>
      </w:r>
    </w:p>
    <w:p>
      <w:pPr>
        <w:pStyle w:val="ListBullet"/>
        <w:spacing w:before="0" w:after="160" w:line="280" w:lineRule="auto"/>
        <w:ind w:left="720" w:hanging="360"/>
      </w:pPr>
      <w:r>
        <w:rPr>
          <w:rFonts w:ascii="Arial Unicode MS" w:hAnsi="Arial Unicode MS" w:eastAsia="Arial Unicode MS" w:cs="Arial Unicode MS"/>
          <w:b w:val="0"/>
          <w:i w:val="0"/>
        </w:rPr>
        <w:t>取締役会承認と代表取締役承認の線引き</w:t>
      </w:r>
    </w:p>
    <w:p>
      <w:pPr>
        <w:pStyle w:val="ListBullet"/>
        <w:spacing w:before="0" w:after="160" w:line="280" w:lineRule="auto"/>
        <w:ind w:left="720" w:hanging="360"/>
      </w:pPr>
      <w:r>
        <w:rPr>
          <w:rFonts w:ascii="Arial Unicode MS" w:hAnsi="Arial Unicode MS" w:eastAsia="Arial Unicode MS" w:cs="Arial Unicode MS"/>
          <w:b w:val="0"/>
          <w:i w:val="0"/>
        </w:rPr>
        <w:t>周知方法</w:t>
      </w:r>
    </w:p>
    <w:p>
      <w:pPr>
        <w:pStyle w:val="ListBullet"/>
        <w:spacing w:before="0" w:after="160" w:line="280" w:lineRule="auto"/>
        <w:ind w:left="720" w:hanging="360"/>
      </w:pPr>
      <w:r>
        <w:rPr>
          <w:rFonts w:ascii="Arial Unicode MS" w:hAnsi="Arial Unicode MS" w:eastAsia="Arial Unicode MS" w:cs="Arial Unicode MS"/>
          <w:b w:val="0"/>
          <w:i w:val="0"/>
        </w:rPr>
        <w:t>年1回の規程見直し時期</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規程管理規程（ドラフト）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規程管理規程（ドラフト）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