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購買管理規程（ドラフト）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本規程は、株式会社MoMoにおける物品、サービス、システム、業務委託その他購買取引に関する基本事項を定め、購買活動の適正性、経済性及び透明性を確保することを目的とする。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会社の購買取引に関する事項は、法令、定款、職務権限規程、稟議規程、経理規程、資金管理規程その他別に定めるもののほか、本規程による。</w:t>
      </w:r>
    </w:p>
    <w:p>
      <w:pPr>
        <w:pStyle w:val="Heading2"/>
      </w:pPr>
      <w:r>
        <w:rPr>
          <w:rFonts w:ascii="Arial Unicode MS" w:hAnsi="Arial Unicode MS" w:eastAsia="Arial Unicode MS" w:cs="Arial Unicode MS"/>
          <w:b w:val="0"/>
          <w:i w:val="0"/>
        </w:rPr>
        <w:t>第3条（基本方針）</w:t>
      </w:r>
    </w:p>
    <w:p>
      <w:pPr>
        <w:spacing w:before="0" w:after="120" w:line="264" w:lineRule="auto"/>
      </w:pPr>
      <w:r>
        <w:rPr>
          <w:rFonts w:ascii="Arial Unicode MS" w:hAnsi="Arial Unicode MS" w:eastAsia="Arial Unicode MS" w:cs="Arial Unicode MS"/>
          <w:b w:val="0"/>
          <w:i w:val="0"/>
        </w:rPr>
        <w:t>購買取引は、必要性、価格の妥当性、品質、納期、取引先の信頼性、契約条件及びリスクを確認したうえで実施する。</w:t>
      </w:r>
    </w:p>
    <w:p>
      <w:pPr>
        <w:pStyle w:val="ListNumber"/>
        <w:spacing w:before="0" w:after="160" w:line="280" w:lineRule="auto"/>
        <w:ind w:left="720" w:hanging="360"/>
      </w:pPr>
      <w:r>
        <w:rPr>
          <w:rFonts w:ascii="Arial Unicode MS" w:hAnsi="Arial Unicode MS" w:eastAsia="Arial Unicode MS" w:cs="Arial Unicode MS"/>
          <w:b w:val="0"/>
          <w:i w:val="0"/>
        </w:rPr>
        <w:t>購買取引は、事前申請及び事前承認を原則とする。</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購買管理の主管部署は、管理部とする。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購買を行う部門は、購買の必要性、仕様、金額、納期、取引先及び検収結果を管理部へ報告する。</w:t>
      </w:r>
    </w:p>
    <w:p>
      <w:pPr>
        <w:pStyle w:val="Heading2"/>
      </w:pPr>
      <w:r>
        <w:rPr>
          <w:rFonts w:ascii="Arial Unicode MS" w:hAnsi="Arial Unicode MS" w:eastAsia="Arial Unicode MS" w:cs="Arial Unicode MS"/>
          <w:b w:val="0"/>
          <w:i w:val="0"/>
        </w:rPr>
        <w:t>第5条（取引先管理）</w:t>
      </w:r>
    </w:p>
    <w:p>
      <w:pPr>
        <w:spacing w:before="0" w:after="120" w:line="264" w:lineRule="auto"/>
      </w:pPr>
      <w:r>
        <w:rPr>
          <w:rFonts w:ascii="Arial Unicode MS" w:hAnsi="Arial Unicode MS" w:eastAsia="Arial Unicode MS" w:cs="Arial Unicode MS"/>
          <w:b w:val="0"/>
          <w:i w:val="0"/>
        </w:rPr>
        <w:t>購買先情報は、原則としてNotionで管理する。</w:t>
      </w:r>
    </w:p>
    <w:p>
      <w:pPr>
        <w:pStyle w:val="ListNumber"/>
        <w:spacing w:before="0" w:after="160" w:line="280" w:lineRule="auto"/>
        <w:ind w:left="720" w:hanging="360"/>
      </w:pPr>
      <w:r>
        <w:rPr>
          <w:rFonts w:ascii="Arial Unicode MS" w:hAnsi="Arial Unicode MS" w:eastAsia="Arial Unicode MS" w:cs="Arial Unicode MS"/>
          <w:b w:val="0"/>
          <w:i w:val="0"/>
        </w:rPr>
        <w:t>購買先情報には、会社名、担当者、連絡先、取引内容、契約状況、支払条件、反社チェック状況その他必要な情報を記録する。</w:t>
      </w:r>
    </w:p>
    <w:p>
      <w:pPr>
        <w:pStyle w:val="Heading1"/>
      </w:pPr>
      <w:r>
        <w:rPr>
          <w:rFonts w:ascii="Arial Unicode MS" w:hAnsi="Arial Unicode MS" w:eastAsia="Arial Unicode MS" w:cs="Arial Unicode MS"/>
          <w:b w:val="0"/>
          <w:i w:val="0"/>
        </w:rPr>
        <w:t>第3章 購買手続</w:t>
      </w:r>
    </w:p>
    <w:p>
      <w:pPr>
        <w:pStyle w:val="Heading2"/>
      </w:pPr>
      <w:r>
        <w:rPr>
          <w:rFonts w:ascii="Arial Unicode MS" w:hAnsi="Arial Unicode MS" w:eastAsia="Arial Unicode MS" w:cs="Arial Unicode MS"/>
          <w:b w:val="0"/>
          <w:i w:val="0"/>
        </w:rPr>
        <w:t>第6条（購買申請）</w:t>
      </w:r>
    </w:p>
    <w:p>
      <w:pPr>
        <w:spacing w:before="0" w:after="120" w:line="264" w:lineRule="auto"/>
      </w:pPr>
      <w:r>
        <w:rPr>
          <w:rFonts w:ascii="Arial Unicode MS" w:hAnsi="Arial Unicode MS" w:eastAsia="Arial Unicode MS" w:cs="Arial Unicode MS"/>
          <w:b w:val="0"/>
          <w:i w:val="0"/>
        </w:rPr>
        <w:t>購買を行う場合、担当部門は、購買目的、品目又はサービス内容、金額、取引先、納期、支払条件及び予算との関係を明確にする。</w:t>
      </w:r>
    </w:p>
    <w:p>
      <w:pPr>
        <w:pStyle w:val="Heading2"/>
      </w:pPr>
      <w:r>
        <w:rPr>
          <w:rFonts w:ascii="Arial Unicode MS" w:hAnsi="Arial Unicode MS" w:eastAsia="Arial Unicode MS" w:cs="Arial Unicode MS"/>
          <w:b w:val="0"/>
          <w:i w:val="0"/>
        </w:rPr>
        <w:t>第7条（承認）</w:t>
      </w:r>
    </w:p>
    <w:p>
      <w:pPr>
        <w:spacing w:before="0" w:after="120" w:line="264" w:lineRule="auto"/>
      </w:pPr>
      <w:r>
        <w:rPr>
          <w:rFonts w:ascii="Arial Unicode MS" w:hAnsi="Arial Unicode MS" w:eastAsia="Arial Unicode MS" w:cs="Arial Unicode MS"/>
          <w:b w:val="0"/>
          <w:i w:val="0"/>
        </w:rPr>
        <w:t>10万円以上の購買、予算外購買、継続契約、重要なシステム又は設備に関する購買は、稟議規程に基づき事前承認を得る。</w:t>
      </w:r>
    </w:p>
    <w:p>
      <w:pPr>
        <w:pStyle w:val="ListNumber"/>
        <w:spacing w:before="0" w:after="160" w:line="280" w:lineRule="auto"/>
        <w:ind w:left="720" w:hanging="360"/>
      </w:pPr>
      <w:r>
        <w:rPr>
          <w:rFonts w:ascii="Arial Unicode MS" w:hAnsi="Arial Unicode MS" w:eastAsia="Arial Unicode MS" w:cs="Arial Unicode MS"/>
          <w:b w:val="0"/>
          <w:i w:val="0"/>
        </w:rPr>
        <w:t>10万円未満の通常購買であっても、重要性又はリスクがある場合は事前承認を得る。</w:t>
      </w:r>
    </w:p>
    <w:p>
      <w:pPr>
        <w:pStyle w:val="Heading2"/>
      </w:pPr>
      <w:r>
        <w:rPr>
          <w:rFonts w:ascii="Arial Unicode MS" w:hAnsi="Arial Unicode MS" w:eastAsia="Arial Unicode MS" w:cs="Arial Unicode MS"/>
          <w:b w:val="0"/>
          <w:i w:val="0"/>
        </w:rPr>
        <w:t>第8条（見積比較）</w:t>
      </w:r>
    </w:p>
    <w:p>
      <w:pPr>
        <w:spacing w:before="0" w:after="120" w:line="264" w:lineRule="auto"/>
      </w:pPr>
      <w:r>
        <w:rPr>
          <w:rFonts w:ascii="Arial Unicode MS" w:hAnsi="Arial Unicode MS" w:eastAsia="Arial Unicode MS" w:cs="Arial Unicode MS"/>
          <w:b w:val="0"/>
          <w:i w:val="0"/>
        </w:rPr>
        <w:t>重要な購買又は高額な購買については、必要に応じて複数見積又は価格妥当性の確認を行う。</w:t>
      </w:r>
    </w:p>
    <w:p>
      <w:pPr>
        <w:pStyle w:val="ListNumber"/>
        <w:spacing w:before="0" w:after="160" w:line="280" w:lineRule="auto"/>
        <w:ind w:left="720" w:hanging="360"/>
      </w:pPr>
      <w:r>
        <w:rPr>
          <w:rFonts w:ascii="Arial Unicode MS" w:hAnsi="Arial Unicode MS" w:eastAsia="Arial Unicode MS" w:cs="Arial Unicode MS"/>
          <w:b w:val="0"/>
          <w:i w:val="0"/>
        </w:rPr>
        <w:t>複数見積を取得しない場合は、その理由を記録する。</w:t>
      </w:r>
    </w:p>
    <w:p>
      <w:pPr>
        <w:pStyle w:val="Heading1"/>
      </w:pPr>
      <w:r>
        <w:rPr>
          <w:rFonts w:ascii="Arial Unicode MS" w:hAnsi="Arial Unicode MS" w:eastAsia="Arial Unicode MS" w:cs="Arial Unicode MS"/>
          <w:b w:val="0"/>
          <w:i w:val="0"/>
        </w:rPr>
        <w:t>第4章 契約及び発注</w:t>
      </w:r>
    </w:p>
    <w:p>
      <w:pPr>
        <w:pStyle w:val="Heading2"/>
      </w:pPr>
      <w:r>
        <w:rPr>
          <w:rFonts w:ascii="Arial Unicode MS" w:hAnsi="Arial Unicode MS" w:eastAsia="Arial Unicode MS" w:cs="Arial Unicode MS"/>
          <w:b w:val="0"/>
          <w:i w:val="0"/>
        </w:rPr>
        <w:t>第9条（契約）</w:t>
      </w:r>
    </w:p>
    <w:p>
      <w:pPr>
        <w:spacing w:before="0" w:after="120" w:line="264" w:lineRule="auto"/>
      </w:pPr>
      <w:r>
        <w:rPr>
          <w:rFonts w:ascii="Arial Unicode MS" w:hAnsi="Arial Unicode MS" w:eastAsia="Arial Unicode MS" w:cs="Arial Unicode MS"/>
          <w:b w:val="0"/>
          <w:i w:val="0"/>
        </w:rPr>
        <w:t>購買に関する契約書は、原則としてマネーフォワードを使用して作成又は管理する。</w:t>
      </w:r>
    </w:p>
    <w:p>
      <w:pPr>
        <w:pStyle w:val="ListNumber"/>
        <w:spacing w:before="0" w:after="160" w:line="280" w:lineRule="auto"/>
        <w:ind w:left="720" w:hanging="360"/>
      </w:pPr>
      <w:r>
        <w:rPr>
          <w:rFonts w:ascii="Arial Unicode MS" w:hAnsi="Arial Unicode MS" w:eastAsia="Arial Unicode MS" w:cs="Arial Unicode MS"/>
          <w:b w:val="0"/>
          <w:i w:val="0"/>
        </w:rPr>
        <w:t>契約締結にあたっては、塚原が契約内容を確認し、代表取締役社長が最終押印又は電子署名を行う。</w:t>
      </w:r>
    </w:p>
    <w:p>
      <w:pPr>
        <w:pStyle w:val="Heading2"/>
      </w:pPr>
      <w:r>
        <w:rPr>
          <w:rFonts w:ascii="Arial Unicode MS" w:hAnsi="Arial Unicode MS" w:eastAsia="Arial Unicode MS" w:cs="Arial Unicode MS"/>
          <w:b w:val="0"/>
          <w:i w:val="0"/>
        </w:rPr>
        <w:t>第10条（発注）</w:t>
      </w:r>
    </w:p>
    <w:p>
      <w:pPr>
        <w:spacing w:before="0" w:after="120" w:line="264" w:lineRule="auto"/>
      </w:pPr>
      <w:r>
        <w:rPr>
          <w:rFonts w:ascii="Arial Unicode MS" w:hAnsi="Arial Unicode MS" w:eastAsia="Arial Unicode MS" w:cs="Arial Unicode MS"/>
          <w:b w:val="0"/>
          <w:i w:val="0"/>
        </w:rPr>
        <w:t>発注は、承認済みの申請、契約、見積その他必要な根拠に基づき行う。</w:t>
      </w:r>
    </w:p>
    <w:p>
      <w:pPr>
        <w:pStyle w:val="ListNumber"/>
        <w:spacing w:before="0" w:after="160" w:line="280" w:lineRule="auto"/>
        <w:ind w:left="720" w:hanging="360"/>
      </w:pPr>
      <w:r>
        <w:rPr>
          <w:rFonts w:ascii="Arial Unicode MS" w:hAnsi="Arial Unicode MS" w:eastAsia="Arial Unicode MS" w:cs="Arial Unicode MS"/>
          <w:b w:val="0"/>
          <w:i w:val="0"/>
        </w:rPr>
        <w:t>発注内容は、金額、納期、支払条件、成果物又は納品物が確認できる形で保存する。</w:t>
      </w:r>
    </w:p>
    <w:p>
      <w:pPr>
        <w:pStyle w:val="Heading1"/>
      </w:pPr>
      <w:r>
        <w:rPr>
          <w:rFonts w:ascii="Arial Unicode MS" w:hAnsi="Arial Unicode MS" w:eastAsia="Arial Unicode MS" w:cs="Arial Unicode MS"/>
          <w:b w:val="0"/>
          <w:i w:val="0"/>
        </w:rPr>
        <w:t>第5章 検収及び支払</w:t>
      </w:r>
    </w:p>
    <w:p>
      <w:pPr>
        <w:pStyle w:val="Heading2"/>
      </w:pPr>
      <w:r>
        <w:rPr>
          <w:rFonts w:ascii="Arial Unicode MS" w:hAnsi="Arial Unicode MS" w:eastAsia="Arial Unicode MS" w:cs="Arial Unicode MS"/>
          <w:b w:val="0"/>
          <w:i w:val="0"/>
        </w:rPr>
        <w:t>第11条（検収）</w:t>
      </w:r>
    </w:p>
    <w:p>
      <w:pPr>
        <w:spacing w:before="0" w:after="120" w:line="264" w:lineRule="auto"/>
      </w:pPr>
      <w:r>
        <w:rPr>
          <w:rFonts w:ascii="Arial Unicode MS" w:hAnsi="Arial Unicode MS" w:eastAsia="Arial Unicode MS" w:cs="Arial Unicode MS"/>
          <w:b w:val="0"/>
          <w:i w:val="0"/>
        </w:rPr>
        <w:t>担当部門は、納品物、成果物又は役務提供の内容が契約又は発注内容に適合していることを確認する。</w:t>
      </w:r>
    </w:p>
    <w:p>
      <w:pPr>
        <w:pStyle w:val="ListNumber"/>
        <w:spacing w:before="0" w:after="160" w:line="280" w:lineRule="auto"/>
        <w:ind w:left="720" w:hanging="360"/>
      </w:pPr>
      <w:r>
        <w:rPr>
          <w:rFonts w:ascii="Arial Unicode MS" w:hAnsi="Arial Unicode MS" w:eastAsia="Arial Unicode MS" w:cs="Arial Unicode MS"/>
          <w:b w:val="0"/>
          <w:i w:val="0"/>
        </w:rPr>
        <w:t>検収結果は、支払前に管理部へ報告する。</w:t>
      </w:r>
    </w:p>
    <w:p>
      <w:pPr>
        <w:pStyle w:val="Heading2"/>
      </w:pPr>
      <w:r>
        <w:rPr>
          <w:rFonts w:ascii="Arial Unicode MS" w:hAnsi="Arial Unicode MS" w:eastAsia="Arial Unicode MS" w:cs="Arial Unicode MS"/>
          <w:b w:val="0"/>
          <w:i w:val="0"/>
        </w:rPr>
        <w:t>第12条（支払）</w:t>
      </w:r>
    </w:p>
    <w:p>
      <w:pPr>
        <w:spacing w:before="0" w:after="120" w:line="264" w:lineRule="auto"/>
      </w:pPr>
      <w:r>
        <w:rPr>
          <w:rFonts w:ascii="Arial Unicode MS" w:hAnsi="Arial Unicode MS" w:eastAsia="Arial Unicode MS" w:cs="Arial Unicode MS"/>
          <w:b w:val="0"/>
          <w:i w:val="0"/>
        </w:rPr>
        <w:t>支払は、資金管理規程及び経理規程に従い、請求書、契約書、発注内容、検収状況その他必要な証憑を確認したうえで行う。</w:t>
      </w:r>
    </w:p>
    <w:p>
      <w:pPr>
        <w:pStyle w:val="ListNumber"/>
        <w:spacing w:before="0" w:after="160" w:line="280" w:lineRule="auto"/>
        <w:ind w:left="720" w:hanging="360"/>
      </w:pPr>
      <w:r>
        <w:rPr>
          <w:rFonts w:ascii="Arial Unicode MS" w:hAnsi="Arial Unicode MS" w:eastAsia="Arial Unicode MS" w:cs="Arial Unicode MS"/>
          <w:b w:val="0"/>
          <w:i w:val="0"/>
        </w:rPr>
        <w:t>支払、銀行振込、インターネットバンキングの承認は、伊藤翔が行う。</w:t>
      </w:r>
    </w:p>
    <w:p>
      <w:pPr>
        <w:pStyle w:val="Heading1"/>
      </w:pPr>
      <w:r>
        <w:rPr>
          <w:rFonts w:ascii="Arial Unicode MS" w:hAnsi="Arial Unicode MS" w:eastAsia="Arial Unicode MS" w:cs="Arial Unicode MS"/>
          <w:b w:val="0"/>
          <w:i w:val="0"/>
        </w:rPr>
        <w:t>第6章 反社チェック</w:t>
      </w:r>
    </w:p>
    <w:p>
      <w:pPr>
        <w:pStyle w:val="Heading2"/>
      </w:pPr>
      <w:r>
        <w:rPr>
          <w:rFonts w:ascii="Arial Unicode MS" w:hAnsi="Arial Unicode MS" w:eastAsia="Arial Unicode MS" w:cs="Arial Unicode MS"/>
          <w:b w:val="0"/>
          <w:i w:val="0"/>
        </w:rPr>
        <w:t>第13条（反社チェック）</w:t>
      </w:r>
    </w:p>
    <w:p>
      <w:pPr>
        <w:spacing w:before="0" w:after="120" w:line="264" w:lineRule="auto"/>
      </w:pPr>
      <w:r>
        <w:rPr>
          <w:rFonts w:ascii="Arial Unicode MS" w:hAnsi="Arial Unicode MS" w:eastAsia="Arial Unicode MS" w:cs="Arial Unicode MS"/>
          <w:b w:val="0"/>
          <w:i w:val="0"/>
        </w:rPr>
        <w:t>新規購買先については、取引開始前に反社会的勢力との関係がないことを確認する。</w:t>
      </w:r>
    </w:p>
    <w:p>
      <w:pPr>
        <w:pStyle w:val="ListNumber"/>
        <w:spacing w:before="0" w:after="160" w:line="280" w:lineRule="auto"/>
        <w:ind w:left="720" w:hanging="360"/>
      </w:pPr>
      <w:r>
        <w:rPr>
          <w:rFonts w:ascii="Arial Unicode MS" w:hAnsi="Arial Unicode MS" w:eastAsia="Arial Unicode MS" w:cs="Arial Unicode MS"/>
          <w:b w:val="0"/>
          <w:i w:val="0"/>
        </w:rPr>
        <w:t>現時点では反社チェックの実査は未実施であるため、新規取引先から段階的に確認手続を導入する。</w:t>
      </w:r>
    </w:p>
    <w:p>
      <w:pPr>
        <w:pStyle w:val="ListNumber"/>
        <w:spacing w:before="0" w:after="160" w:line="280" w:lineRule="auto"/>
        <w:ind w:left="720" w:hanging="360"/>
      </w:pPr>
      <w:r>
        <w:rPr>
          <w:rFonts w:ascii="Arial Unicode MS" w:hAnsi="Arial Unicode MS" w:eastAsia="Arial Unicode MS" w:cs="Arial Unicode MS"/>
          <w:b w:val="0"/>
          <w:i w:val="0"/>
        </w:rPr>
        <w:t>反社チェックの具体的方法は、反社会的勢力対応規程又は別に定める手続による。</w:t>
      </w:r>
    </w:p>
    <w:p>
      <w:pPr>
        <w:pStyle w:val="Heading1"/>
      </w:pPr>
      <w:r>
        <w:rPr>
          <w:rFonts w:ascii="Arial Unicode MS" w:hAnsi="Arial Unicode MS" w:eastAsia="Arial Unicode MS" w:cs="Arial Unicode MS"/>
          <w:b w:val="0"/>
          <w:i w:val="0"/>
        </w:rPr>
        <w:t>第7章 保存及び報告</w:t>
      </w:r>
    </w:p>
    <w:p>
      <w:pPr>
        <w:pStyle w:val="Heading2"/>
      </w:pPr>
      <w:r>
        <w:rPr>
          <w:rFonts w:ascii="Arial Unicode MS" w:hAnsi="Arial Unicode MS" w:eastAsia="Arial Unicode MS" w:cs="Arial Unicode MS"/>
          <w:b w:val="0"/>
          <w:i w:val="0"/>
        </w:rPr>
        <w:t>第14条（資料保存）</w:t>
      </w:r>
    </w:p>
    <w:p>
      <w:pPr>
        <w:spacing w:before="0" w:after="120" w:line="264" w:lineRule="auto"/>
      </w:pPr>
      <w:r>
        <w:rPr>
          <w:rFonts w:ascii="Arial Unicode MS" w:hAnsi="Arial Unicode MS" w:eastAsia="Arial Unicode MS" w:cs="Arial Unicode MS"/>
          <w:b w:val="0"/>
          <w:i w:val="0"/>
        </w:rPr>
        <w:t>購買申請、見積書、契約書、発注記録、検収記録、請求書、支払記録その他購買に関する資料は、管理部又は担当部門が保存管理する。</w:t>
      </w:r>
    </w:p>
    <w:p>
      <w:pPr>
        <w:pStyle w:val="Heading2"/>
      </w:pPr>
      <w:r>
        <w:rPr>
          <w:rFonts w:ascii="Arial Unicode MS" w:hAnsi="Arial Unicode MS" w:eastAsia="Arial Unicode MS" w:cs="Arial Unicode MS"/>
          <w:b w:val="0"/>
          <w:i w:val="0"/>
        </w:rPr>
        <w:t>第15条（報告）</w:t>
      </w:r>
    </w:p>
    <w:p>
      <w:pPr>
        <w:spacing w:before="0" w:after="120" w:line="264" w:lineRule="auto"/>
      </w:pPr>
      <w:r>
        <w:rPr>
          <w:rFonts w:ascii="Arial Unicode MS" w:hAnsi="Arial Unicode MS" w:eastAsia="Arial Unicode MS" w:cs="Arial Unicode MS"/>
          <w:b w:val="0"/>
          <w:i w:val="0"/>
        </w:rPr>
        <w:t>担当部門は、重要な購買、予算外購買、支払遅延、取引先との紛争その他重要事項を経営会議に報告する。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第16条（改廃）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主な購買先</w:t>
      </w:r>
    </w:p>
    <w:p>
      <w:pPr>
        <w:pStyle w:val="ListBullet"/>
        <w:spacing w:before="0" w:after="160" w:line="280" w:lineRule="auto"/>
        <w:ind w:left="720" w:hanging="360"/>
      </w:pPr>
      <w:r>
        <w:rPr>
          <w:rFonts w:ascii="Arial Unicode MS" w:hAnsi="Arial Unicode MS" w:eastAsia="Arial Unicode MS" w:cs="Arial Unicode MS"/>
          <w:b w:val="0"/>
          <w:i w:val="0"/>
        </w:rPr>
        <w:t>発注担当者</w:t>
      </w:r>
    </w:p>
    <w:p>
      <w:pPr>
        <w:pStyle w:val="ListBullet"/>
        <w:spacing w:before="0" w:after="160" w:line="280" w:lineRule="auto"/>
        <w:ind w:left="720" w:hanging="360"/>
      </w:pPr>
      <w:r>
        <w:rPr>
          <w:rFonts w:ascii="Arial Unicode MS" w:hAnsi="Arial Unicode MS" w:eastAsia="Arial Unicode MS" w:cs="Arial Unicode MS"/>
          <w:b w:val="0"/>
          <w:i w:val="0"/>
        </w:rPr>
        <w:t>検収担当者</w:t>
      </w:r>
    </w:p>
    <w:p>
      <w:pPr>
        <w:pStyle w:val="ListBullet"/>
        <w:spacing w:before="0" w:after="160" w:line="280" w:lineRule="auto"/>
        <w:ind w:left="720" w:hanging="360"/>
      </w:pPr>
      <w:r>
        <w:rPr>
          <w:rFonts w:ascii="Arial Unicode MS" w:hAnsi="Arial Unicode MS" w:eastAsia="Arial Unicode MS" w:cs="Arial Unicode MS"/>
          <w:b w:val="0"/>
          <w:i w:val="0"/>
        </w:rPr>
        <w:t>複数見積を必要とする金額基準</w:t>
      </w:r>
    </w:p>
    <w:p>
      <w:pPr>
        <w:pStyle w:val="ListBullet"/>
        <w:spacing w:before="0" w:after="160" w:line="280" w:lineRule="auto"/>
        <w:ind w:left="720" w:hanging="360"/>
      </w:pPr>
      <w:r>
        <w:rPr>
          <w:rFonts w:ascii="Arial Unicode MS" w:hAnsi="Arial Unicode MS" w:eastAsia="Arial Unicode MS" w:cs="Arial Unicode MS"/>
          <w:b w:val="0"/>
          <w:i w:val="0"/>
        </w:rPr>
        <w:t>継続契約の管理方法</w:t>
      </w:r>
    </w:p>
    <w:p>
      <w:pPr>
        <w:pStyle w:val="ListBullet"/>
        <w:spacing w:before="0" w:after="160" w:line="280" w:lineRule="auto"/>
        <w:ind w:left="720" w:hanging="360"/>
      </w:pPr>
      <w:r>
        <w:rPr>
          <w:rFonts w:ascii="Arial Unicode MS" w:hAnsi="Arial Unicode MS" w:eastAsia="Arial Unicode MS" w:cs="Arial Unicode MS"/>
          <w:b w:val="0"/>
          <w:i w:val="0"/>
        </w:rPr>
        <w:t>Notionで管理している購買先情報の項目</w:t>
      </w:r>
    </w:p>
    <w:p>
      <w:pPr>
        <w:pStyle w:val="ListBullet"/>
        <w:spacing w:before="0" w:after="160" w:line="280" w:lineRule="auto"/>
        <w:ind w:left="720" w:hanging="360"/>
      </w:pPr>
      <w:r>
        <w:rPr>
          <w:rFonts w:ascii="Arial Unicode MS" w:hAnsi="Arial Unicode MS" w:eastAsia="Arial Unicode MS" w:cs="Arial Unicode MS"/>
          <w:b w:val="0"/>
          <w:i w:val="0"/>
        </w:rPr>
        <w:t>反社チェックの実施方法</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外注先又は業務委託先が存在する。</w:t>
      </w:r>
    </w:p>
    <w:p>
      <w:pPr>
        <w:pStyle w:val="ListBullet"/>
        <w:spacing w:before="0" w:after="160" w:line="280" w:lineRule="auto"/>
        <w:ind w:left="720" w:hanging="360"/>
      </w:pPr>
      <w:r>
        <w:rPr>
          <w:rFonts w:ascii="Arial Unicode MS" w:hAnsi="Arial Unicode MS" w:eastAsia="Arial Unicode MS" w:cs="Arial Unicode MS"/>
          <w:b w:val="0"/>
          <w:i w:val="0"/>
        </w:rPr>
        <w:t>契約書はマネーフォワードを使用する。</w:t>
      </w:r>
    </w:p>
    <w:p>
      <w:pPr>
        <w:pStyle w:val="ListBullet"/>
        <w:spacing w:before="0" w:after="160" w:line="280" w:lineRule="auto"/>
        <w:ind w:left="720" w:hanging="360"/>
      </w:pPr>
      <w:r>
        <w:rPr>
          <w:rFonts w:ascii="Arial Unicode MS" w:hAnsi="Arial Unicode MS" w:eastAsia="Arial Unicode MS" w:cs="Arial Unicode MS"/>
          <w:b w:val="0"/>
          <w:i w:val="0"/>
        </w:rPr>
        <w:t>取引先管理はNotionを使用する。</w:t>
      </w:r>
    </w:p>
    <w:p>
      <w:pPr>
        <w:pStyle w:val="ListBullet"/>
        <w:spacing w:before="0" w:after="160" w:line="280" w:lineRule="auto"/>
        <w:ind w:left="720" w:hanging="360"/>
      </w:pPr>
      <w:r>
        <w:rPr>
          <w:rFonts w:ascii="Arial Unicode MS" w:hAnsi="Arial Unicode MS" w:eastAsia="Arial Unicode MS" w:cs="Arial Unicode MS"/>
          <w:b w:val="0"/>
          <w:i w:val="0"/>
        </w:rPr>
        <w:t>10万円以上の支出は伊藤翔の事前承認とする。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購買管理規程（ドラフト）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購買管理規程（ドラフト）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