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リスク・コンプライアンス管理規程（ドラフト）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リスク管理及びコンプライアンス管理に関する基本事項を定め、法令、定款、社内規程及び社会規範を遵守し、事業上のリスクを適切に把握、評価、対応及び報告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本規程は、会社のすべての役員、従業員、業務委託先その他会社の業務に従事する者に適用する。</w:t>
      </w:r>
    </w:p>
    <w:p>
      <w:pPr>
        <w:pStyle w:val="Heading2"/>
      </w:pPr>
      <w:r>
        <w:rPr>
          <w:rFonts w:ascii="Arial Unicode MS" w:hAnsi="Arial Unicode MS" w:eastAsia="Arial Unicode MS" w:cs="Arial Unicode MS"/>
          <w:b w:val="0"/>
          <w:i w:val="0"/>
        </w:rPr>
        <w:t>第3条（定義）</w:t>
      </w:r>
    </w:p>
    <w:p>
      <w:pPr>
        <w:spacing w:before="0" w:after="120" w:line="264" w:lineRule="auto"/>
      </w:pPr>
      <w:r>
        <w:rPr>
          <w:rFonts w:ascii="Arial Unicode MS" w:hAnsi="Arial Unicode MS" w:eastAsia="Arial Unicode MS" w:cs="Arial Unicode MS"/>
          <w:b w:val="0"/>
          <w:i w:val="0"/>
        </w:rPr>
        <w:t>本規程におけるリスクとは、会社の事業、財務、信用、法令遵守、情報管理、人事労務、顧客対応、システム、上場準備その他会社運営に不利益又は損害を与える可能性のある事象をいう。</w:t>
      </w:r>
    </w:p>
    <w:p>
      <w:pPr>
        <w:pStyle w:val="ListNumber"/>
        <w:spacing w:before="0" w:after="160" w:line="280" w:lineRule="auto"/>
        <w:ind w:left="720" w:hanging="360"/>
      </w:pPr>
      <w:r>
        <w:rPr>
          <w:rFonts w:ascii="Arial Unicode MS" w:hAnsi="Arial Unicode MS" w:eastAsia="Arial Unicode MS" w:cs="Arial Unicode MS"/>
          <w:b w:val="0"/>
          <w:i w:val="0"/>
        </w:rPr>
        <w:t>本規程におけるコンプライアンスとは、法令、定款、社内規程、契約、社会規範及び企業倫理を遵守することをいう。</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リスク・コンプライアンス管理の主管部署は、管理部とする。</w:t>
      </w:r>
    </w:p>
    <w:p>
      <w:pPr>
        <w:pStyle w:val="Heading2"/>
      </w:pPr>
      <w:r>
        <w:rPr>
          <w:rFonts w:ascii="Arial Unicode MS" w:hAnsi="Arial Unicode MS" w:eastAsia="Arial Unicode MS" w:cs="Arial Unicode MS"/>
          <w:b w:val="0"/>
          <w:i w:val="0"/>
        </w:rPr>
        <w:t>第5条（責任者）</w:t>
      </w:r>
    </w:p>
    <w:p>
      <w:pPr>
        <w:spacing w:before="0" w:after="120" w:line="264" w:lineRule="auto"/>
      </w:pPr>
      <w:r>
        <w:rPr>
          <w:rFonts w:ascii="Arial Unicode MS" w:hAnsi="Arial Unicode MS" w:eastAsia="Arial Unicode MS" w:cs="Arial Unicode MS"/>
          <w:b w:val="0"/>
          <w:i w:val="0"/>
        </w:rPr>
        <w:t>リスク・コンプライアンス管理責任者は、代表取締役社長又は代表取締役社長が指名する者とする。</w:t>
      </w:r>
    </w:p>
    <w:p>
      <w:pPr>
        <w:pStyle w:val="Heading2"/>
      </w:pPr>
      <w:r>
        <w:rPr>
          <w:rFonts w:ascii="Arial Unicode MS" w:hAnsi="Arial Unicode MS" w:eastAsia="Arial Unicode MS" w:cs="Arial Unicode MS"/>
          <w:b w:val="0"/>
          <w:i w:val="0"/>
        </w:rPr>
        <w:t>第6条（各部門の責務）</w:t>
      </w:r>
    </w:p>
    <w:p>
      <w:pPr>
        <w:spacing w:before="0" w:after="120" w:line="264" w:lineRule="auto"/>
      </w:pPr>
      <w:r>
        <w:rPr>
          <w:rFonts w:ascii="Arial Unicode MS" w:hAnsi="Arial Unicode MS" w:eastAsia="Arial Unicode MS" w:cs="Arial Unicode MS"/>
          <w:b w:val="0"/>
          <w:i w:val="0"/>
        </w:rPr>
        <w:t>各部門は、担当業務に関するリスク及びコンプライアンス上の課題を把握し、必要な対応を行う。</w:t>
      </w:r>
    </w:p>
    <w:p>
      <w:pPr>
        <w:pStyle w:val="ListNumber"/>
        <w:spacing w:before="0" w:after="160" w:line="280" w:lineRule="auto"/>
        <w:ind w:left="720" w:hanging="360"/>
      </w:pPr>
      <w:r>
        <w:rPr>
          <w:rFonts w:ascii="Arial Unicode MS" w:hAnsi="Arial Unicode MS" w:eastAsia="Arial Unicode MS" w:cs="Arial Unicode MS"/>
          <w:b w:val="0"/>
          <w:i w:val="0"/>
        </w:rPr>
        <w:t>各部門は、重大なリスク、法令違反、規程違反、不正、不祥事又はそのおそれを把握した場合、速やかに管理部へ報告する。</w:t>
      </w:r>
    </w:p>
    <w:p>
      <w:pPr>
        <w:pStyle w:val="Heading1"/>
      </w:pPr>
      <w:r>
        <w:rPr>
          <w:rFonts w:ascii="Arial Unicode MS" w:hAnsi="Arial Unicode MS" w:eastAsia="Arial Unicode MS" w:cs="Arial Unicode MS"/>
          <w:b w:val="0"/>
          <w:i w:val="0"/>
        </w:rPr>
        <w:t>第3章 リスク管理</w:t>
      </w:r>
    </w:p>
    <w:p>
      <w:pPr>
        <w:pStyle w:val="Heading2"/>
      </w:pPr>
      <w:r>
        <w:rPr>
          <w:rFonts w:ascii="Arial Unicode MS" w:hAnsi="Arial Unicode MS" w:eastAsia="Arial Unicode MS" w:cs="Arial Unicode MS"/>
          <w:b w:val="0"/>
          <w:i w:val="0"/>
        </w:rPr>
        <w:t>第7条（リスクの把握）</w:t>
      </w:r>
    </w:p>
    <w:p>
      <w:pPr>
        <w:spacing w:before="0" w:after="120" w:line="264" w:lineRule="auto"/>
      </w:pPr>
      <w:r>
        <w:rPr>
          <w:rFonts w:ascii="Arial Unicode MS" w:hAnsi="Arial Unicode MS" w:eastAsia="Arial Unicode MS" w:cs="Arial Unicode MS"/>
          <w:b w:val="0"/>
          <w:i w:val="0"/>
        </w:rPr>
        <w:t>管理部は、各部門と連携し、会社の主要リスクを定期的に把握する。</w:t>
      </w:r>
    </w:p>
    <w:p>
      <w:pPr>
        <w:pStyle w:val="Heading2"/>
      </w:pPr>
      <w:r>
        <w:rPr>
          <w:rFonts w:ascii="Arial Unicode MS" w:hAnsi="Arial Unicode MS" w:eastAsia="Arial Unicode MS" w:cs="Arial Unicode MS"/>
          <w:b w:val="0"/>
          <w:i w:val="0"/>
        </w:rPr>
        <w:t>第8条（主要リスク）</w:t>
      </w:r>
    </w:p>
    <w:p>
      <w:pPr>
        <w:spacing w:before="0" w:after="120" w:line="264" w:lineRule="auto"/>
      </w:pPr>
      <w:r>
        <w:rPr>
          <w:rFonts w:ascii="Arial Unicode MS" w:hAnsi="Arial Unicode MS" w:eastAsia="Arial Unicode MS" w:cs="Arial Unicode MS"/>
          <w:b w:val="0"/>
          <w:i w:val="0"/>
        </w:rPr>
        <w:t>会社の主要リスクには、次の事項を含む。</w:t>
      </w:r>
    </w:p>
    <w:p>
      <w:pPr>
        <w:pStyle w:val="ListNumber"/>
        <w:spacing w:before="0" w:after="160" w:line="280" w:lineRule="auto"/>
        <w:ind w:left="720" w:hanging="360"/>
      </w:pPr>
      <w:r>
        <w:rPr>
          <w:rFonts w:ascii="Arial Unicode MS" w:hAnsi="Arial Unicode MS" w:eastAsia="Arial Unicode MS" w:cs="Arial Unicode MS"/>
          <w:b w:val="0"/>
          <w:i w:val="0"/>
        </w:rPr>
        <w:t>上場準備及び内部管理体制に関するリスク</w:t>
      </w:r>
    </w:p>
    <w:p>
      <w:pPr>
        <w:pStyle w:val="ListNumber"/>
        <w:spacing w:before="0" w:after="160" w:line="280" w:lineRule="auto"/>
        <w:ind w:left="720" w:hanging="360"/>
      </w:pPr>
      <w:r>
        <w:rPr>
          <w:rFonts w:ascii="Arial Unicode MS" w:hAnsi="Arial Unicode MS" w:eastAsia="Arial Unicode MS" w:cs="Arial Unicode MS"/>
          <w:b w:val="0"/>
          <w:i w:val="0"/>
        </w:rPr>
        <w:t>法令違反及び規程違反リスク</w:t>
      </w:r>
    </w:p>
    <w:p>
      <w:pPr>
        <w:pStyle w:val="ListNumber"/>
        <w:spacing w:before="0" w:after="160" w:line="280" w:lineRule="auto"/>
        <w:ind w:left="720" w:hanging="360"/>
      </w:pPr>
      <w:r>
        <w:rPr>
          <w:rFonts w:ascii="Arial Unicode MS" w:hAnsi="Arial Unicode MS" w:eastAsia="Arial Unicode MS" w:cs="Arial Unicode MS"/>
          <w:b w:val="0"/>
          <w:i w:val="0"/>
        </w:rPr>
        <w:t>反社会的勢力との関係リスク</w:t>
      </w:r>
    </w:p>
    <w:p>
      <w:pPr>
        <w:pStyle w:val="ListNumber"/>
        <w:spacing w:before="0" w:after="160" w:line="280" w:lineRule="auto"/>
        <w:ind w:left="720" w:hanging="360"/>
      </w:pPr>
      <w:r>
        <w:rPr>
          <w:rFonts w:ascii="Arial Unicode MS" w:hAnsi="Arial Unicode MS" w:eastAsia="Arial Unicode MS" w:cs="Arial Unicode MS"/>
          <w:b w:val="0"/>
          <w:i w:val="0"/>
        </w:rPr>
        <w:t>個人情報及び情報セキュリティリスク</w:t>
      </w:r>
    </w:p>
    <w:p>
      <w:pPr>
        <w:pStyle w:val="ListNumber"/>
        <w:spacing w:before="0" w:after="160" w:line="280" w:lineRule="auto"/>
        <w:ind w:left="720" w:hanging="360"/>
      </w:pPr>
      <w:r>
        <w:rPr>
          <w:rFonts w:ascii="Arial Unicode MS" w:hAnsi="Arial Unicode MS" w:eastAsia="Arial Unicode MS" w:cs="Arial Unicode MS"/>
          <w:b w:val="0"/>
          <w:i w:val="0"/>
        </w:rPr>
        <w:t>AIサービス利用及び開発に関するリスク</w:t>
      </w:r>
    </w:p>
    <w:p>
      <w:pPr>
        <w:pStyle w:val="ListNumber"/>
        <w:spacing w:before="0" w:after="160" w:line="280" w:lineRule="auto"/>
        <w:ind w:left="720" w:hanging="360"/>
      </w:pPr>
      <w:r>
        <w:rPr>
          <w:rFonts w:ascii="Arial Unicode MS" w:hAnsi="Arial Unicode MS" w:eastAsia="Arial Unicode MS" w:cs="Arial Unicode MS"/>
          <w:b w:val="0"/>
          <w:i w:val="0"/>
        </w:rPr>
        <w:t>契約、販売、購買、外注に関するリスク</w:t>
      </w:r>
    </w:p>
    <w:p>
      <w:pPr>
        <w:pStyle w:val="ListNumber"/>
        <w:spacing w:before="0" w:after="160" w:line="280" w:lineRule="auto"/>
        <w:ind w:left="720" w:hanging="360"/>
      </w:pPr>
      <w:r>
        <w:rPr>
          <w:rFonts w:ascii="Arial Unicode MS" w:hAnsi="Arial Unicode MS" w:eastAsia="Arial Unicode MS" w:cs="Arial Unicode MS"/>
          <w:b w:val="0"/>
          <w:i w:val="0"/>
        </w:rPr>
        <w:t>売上、未入金、与信及び資金繰りに関するリスク</w:t>
      </w:r>
    </w:p>
    <w:p>
      <w:pPr>
        <w:pStyle w:val="ListNumber"/>
        <w:spacing w:before="0" w:after="160" w:line="280" w:lineRule="auto"/>
        <w:ind w:left="720" w:hanging="360"/>
      </w:pPr>
      <w:r>
        <w:rPr>
          <w:rFonts w:ascii="Arial Unicode MS" w:hAnsi="Arial Unicode MS" w:eastAsia="Arial Unicode MS" w:cs="Arial Unicode MS"/>
          <w:b w:val="0"/>
          <w:i w:val="0"/>
        </w:rPr>
        <w:t>労務、人事、ハラスメントに関するリスク</w:t>
      </w:r>
    </w:p>
    <w:p>
      <w:pPr>
        <w:pStyle w:val="ListNumber"/>
        <w:spacing w:before="0" w:after="160" w:line="280" w:lineRule="auto"/>
        <w:ind w:left="720" w:hanging="360"/>
      </w:pPr>
      <w:r>
        <w:rPr>
          <w:rFonts w:ascii="Arial Unicode MS" w:hAnsi="Arial Unicode MS" w:eastAsia="Arial Unicode MS" w:cs="Arial Unicode MS"/>
          <w:b w:val="0"/>
          <w:i w:val="0"/>
        </w:rPr>
        <w:t>クレーム、事故、品質に関するリスク</w:t>
      </w:r>
    </w:p>
    <w:p>
      <w:pPr>
        <w:pStyle w:val="ListNumber"/>
        <w:spacing w:before="0" w:after="160" w:line="280" w:lineRule="auto"/>
        <w:ind w:left="720" w:hanging="360"/>
      </w:pPr>
      <w:r>
        <w:rPr>
          <w:rFonts w:ascii="Arial Unicode MS" w:hAnsi="Arial Unicode MS" w:eastAsia="Arial Unicode MS" w:cs="Arial Unicode MS"/>
          <w:b w:val="0"/>
          <w:i w:val="0"/>
        </w:rPr>
        <w:t>知的財産及び秘密情報に関するリスク</w:t>
      </w:r>
    </w:p>
    <w:p>
      <w:pPr>
        <w:pStyle w:val="ListNumber"/>
        <w:spacing w:before="0" w:after="160" w:line="280" w:lineRule="auto"/>
        <w:ind w:left="720" w:hanging="360"/>
      </w:pPr>
      <w:r>
        <w:rPr>
          <w:rFonts w:ascii="Arial Unicode MS" w:hAnsi="Arial Unicode MS" w:eastAsia="Arial Unicode MS" w:cs="Arial Unicode MS"/>
          <w:b w:val="0"/>
          <w:i w:val="0"/>
        </w:rPr>
        <w:t>システム障害及び事業継続に関するリスク</w:t>
      </w:r>
    </w:p>
    <w:p>
      <w:pPr>
        <w:pStyle w:val="ListNumber"/>
        <w:spacing w:before="0" w:after="160" w:line="280" w:lineRule="auto"/>
        <w:ind w:left="720" w:hanging="360"/>
      </w:pPr>
      <w:r>
        <w:rPr>
          <w:rFonts w:ascii="Arial Unicode MS" w:hAnsi="Arial Unicode MS" w:eastAsia="Arial Unicode MS" w:cs="Arial Unicode MS"/>
          <w:b w:val="0"/>
          <w:i w:val="0"/>
        </w:rPr>
        <w:t>その他会社が重要と認めるリスク</w:t>
      </w:r>
    </w:p>
    <w:p>
      <w:pPr>
        <w:pStyle w:val="Heading2"/>
      </w:pPr>
      <w:r>
        <w:rPr>
          <w:rFonts w:ascii="Arial Unicode MS" w:hAnsi="Arial Unicode MS" w:eastAsia="Arial Unicode MS" w:cs="Arial Unicode MS"/>
          <w:b w:val="0"/>
          <w:i w:val="0"/>
        </w:rPr>
        <w:t>第9条（リスク評価）</w:t>
      </w:r>
    </w:p>
    <w:p>
      <w:pPr>
        <w:spacing w:before="0" w:after="120" w:line="264" w:lineRule="auto"/>
      </w:pPr>
      <w:r>
        <w:rPr>
          <w:rFonts w:ascii="Arial Unicode MS" w:hAnsi="Arial Unicode MS" w:eastAsia="Arial Unicode MS" w:cs="Arial Unicode MS"/>
          <w:b w:val="0"/>
          <w:i w:val="0"/>
        </w:rPr>
        <w:t>管理部は、リスクの発生可能性、影響度、緊急性及び対応状況を踏まえてリスクを評価する。</w:t>
      </w:r>
    </w:p>
    <w:p>
      <w:pPr>
        <w:pStyle w:val="Heading2"/>
      </w:pPr>
      <w:r>
        <w:rPr>
          <w:rFonts w:ascii="Arial Unicode MS" w:hAnsi="Arial Unicode MS" w:eastAsia="Arial Unicode MS" w:cs="Arial Unicode MS"/>
          <w:b w:val="0"/>
          <w:i w:val="0"/>
        </w:rPr>
        <w:t>第10条（対応）</w:t>
      </w:r>
    </w:p>
    <w:p>
      <w:pPr>
        <w:spacing w:before="0" w:after="120" w:line="264" w:lineRule="auto"/>
      </w:pPr>
      <w:r>
        <w:rPr>
          <w:rFonts w:ascii="Arial Unicode MS" w:hAnsi="Arial Unicode MS" w:eastAsia="Arial Unicode MS" w:cs="Arial Unicode MS"/>
          <w:b w:val="0"/>
          <w:i w:val="0"/>
        </w:rPr>
        <w:t>管理部及び各部門は、リスク評価の結果に応じて、回避、低減、移転、受容その他適切な対応策を検討し、実施する。</w:t>
      </w:r>
    </w:p>
    <w:p>
      <w:pPr>
        <w:pStyle w:val="Heading1"/>
      </w:pPr>
      <w:r>
        <w:rPr>
          <w:rFonts w:ascii="Arial Unicode MS" w:hAnsi="Arial Unicode MS" w:eastAsia="Arial Unicode MS" w:cs="Arial Unicode MS"/>
          <w:b w:val="0"/>
          <w:i w:val="0"/>
        </w:rPr>
        <w:t>第4章 コンプライアンス管理</w:t>
      </w:r>
    </w:p>
    <w:p>
      <w:pPr>
        <w:pStyle w:val="Heading2"/>
      </w:pPr>
      <w:r>
        <w:rPr>
          <w:rFonts w:ascii="Arial Unicode MS" w:hAnsi="Arial Unicode MS" w:eastAsia="Arial Unicode MS" w:cs="Arial Unicode MS"/>
          <w:b w:val="0"/>
          <w:i w:val="0"/>
        </w:rPr>
        <w:t>第11条（遵守事項）</w:t>
      </w:r>
    </w:p>
    <w:p>
      <w:pPr>
        <w:spacing w:before="0" w:after="120" w:line="264" w:lineRule="auto"/>
      </w:pPr>
      <w:r>
        <w:rPr>
          <w:rFonts w:ascii="Arial Unicode MS" w:hAnsi="Arial Unicode MS" w:eastAsia="Arial Unicode MS" w:cs="Arial Unicode MS"/>
          <w:b w:val="0"/>
          <w:i w:val="0"/>
        </w:rPr>
        <w:t>役員及び従業員は、法令、定款、社内規程、契約、社会規範及び企業倫理を遵守する。</w:t>
      </w:r>
    </w:p>
    <w:p>
      <w:pPr>
        <w:pStyle w:val="Heading2"/>
      </w:pPr>
      <w:r>
        <w:rPr>
          <w:rFonts w:ascii="Arial Unicode MS" w:hAnsi="Arial Unicode MS" w:eastAsia="Arial Unicode MS" w:cs="Arial Unicode MS"/>
          <w:b w:val="0"/>
          <w:i w:val="0"/>
        </w:rPr>
        <w:t>第12条（違反の報告）</w:t>
      </w:r>
    </w:p>
    <w:p>
      <w:pPr>
        <w:spacing w:before="0" w:after="120" w:line="264" w:lineRule="auto"/>
      </w:pPr>
      <w:r>
        <w:rPr>
          <w:rFonts w:ascii="Arial Unicode MS" w:hAnsi="Arial Unicode MS" w:eastAsia="Arial Unicode MS" w:cs="Arial Unicode MS"/>
          <w:b w:val="0"/>
          <w:i w:val="0"/>
        </w:rPr>
        <w:t>法令違反、規程違反、不正、不祥事又はそのおそれを発見した者は、速やかに管理部、上長又は内部通報窓口へ報告する。</w:t>
      </w:r>
    </w:p>
    <w:p>
      <w:pPr>
        <w:pStyle w:val="Heading2"/>
      </w:pPr>
      <w:r>
        <w:rPr>
          <w:rFonts w:ascii="Arial Unicode MS" w:hAnsi="Arial Unicode MS" w:eastAsia="Arial Unicode MS" w:cs="Arial Unicode MS"/>
          <w:b w:val="0"/>
          <w:i w:val="0"/>
        </w:rPr>
        <w:t>第13条（調査及び是正）</w:t>
      </w:r>
    </w:p>
    <w:p>
      <w:pPr>
        <w:spacing w:before="0" w:after="120" w:line="264" w:lineRule="auto"/>
      </w:pPr>
      <w:r>
        <w:rPr>
          <w:rFonts w:ascii="Arial Unicode MS" w:hAnsi="Arial Unicode MS" w:eastAsia="Arial Unicode MS" w:cs="Arial Unicode MS"/>
          <w:b w:val="0"/>
          <w:i w:val="0"/>
        </w:rPr>
        <w:t>管理部は、違反又はそのおそれの報告を受けた場合、関係部門と連携して事実関係を確認し、必要な是正措置及び再発防止策を講じる。</w:t>
      </w:r>
    </w:p>
    <w:p>
      <w:pPr>
        <w:pStyle w:val="Heading1"/>
      </w:pPr>
      <w:r>
        <w:rPr>
          <w:rFonts w:ascii="Arial Unicode MS" w:hAnsi="Arial Unicode MS" w:eastAsia="Arial Unicode MS" w:cs="Arial Unicode MS"/>
          <w:b w:val="0"/>
          <w:i w:val="0"/>
        </w:rPr>
        <w:t>第5章 報告</w:t>
      </w:r>
    </w:p>
    <w:p>
      <w:pPr>
        <w:pStyle w:val="Heading2"/>
      </w:pPr>
      <w:r>
        <w:rPr>
          <w:rFonts w:ascii="Arial Unicode MS" w:hAnsi="Arial Unicode MS" w:eastAsia="Arial Unicode MS" w:cs="Arial Unicode MS"/>
          <w:b w:val="0"/>
          <w:i w:val="0"/>
        </w:rPr>
        <w:t>第14条（経営会議への報告）</w:t>
      </w:r>
    </w:p>
    <w:p>
      <w:pPr>
        <w:spacing w:before="0" w:after="120" w:line="264" w:lineRule="auto"/>
      </w:pPr>
      <w:r>
        <w:rPr>
          <w:rFonts w:ascii="Arial Unicode MS" w:hAnsi="Arial Unicode MS" w:eastAsia="Arial Unicode MS" w:cs="Arial Unicode MS"/>
          <w:b w:val="0"/>
          <w:i w:val="0"/>
        </w:rPr>
        <w:t>管理部は、リスク・コンプライアンスの管理状況、重大なリスク、法令違反、規程違反、不祥事、クレーム、情報セキュリティインシデント、反社チェック状況その他重要事項を経営会議に報告する。</w:t>
      </w:r>
    </w:p>
    <w:p>
      <w:pPr>
        <w:pStyle w:val="Heading2"/>
      </w:pPr>
      <w:r>
        <w:rPr>
          <w:rFonts w:ascii="Arial Unicode MS" w:hAnsi="Arial Unicode MS" w:eastAsia="Arial Unicode MS" w:cs="Arial Unicode MS"/>
          <w:b w:val="0"/>
          <w:i w:val="0"/>
        </w:rPr>
        <w:t>第15条（取締役会への報告）</w:t>
      </w:r>
    </w:p>
    <w:p>
      <w:pPr>
        <w:spacing w:before="0" w:after="120" w:line="264" w:lineRule="auto"/>
      </w:pPr>
      <w:r>
        <w:rPr>
          <w:rFonts w:ascii="Arial Unicode MS" w:hAnsi="Arial Unicode MS" w:eastAsia="Arial Unicode MS" w:cs="Arial Unicode MS"/>
          <w:b w:val="0"/>
          <w:i w:val="0"/>
        </w:rPr>
        <w:t>会社に重大な影響を与えるリスク、法令違反、不正、不祥事、情報漏えい、重大クレーム、上場準備上重要な不備その他重要事項は、取締役会に報告又は付議する。</w:t>
      </w:r>
    </w:p>
    <w:p>
      <w:pPr>
        <w:pStyle w:val="Heading1"/>
      </w:pPr>
      <w:r>
        <w:rPr>
          <w:rFonts w:ascii="Arial Unicode MS" w:hAnsi="Arial Unicode MS" w:eastAsia="Arial Unicode MS" w:cs="Arial Unicode MS"/>
          <w:b w:val="0"/>
          <w:i w:val="0"/>
        </w:rPr>
        <w:t>第6章 教育及び点検</w:t>
      </w:r>
    </w:p>
    <w:p>
      <w:pPr>
        <w:pStyle w:val="Heading2"/>
      </w:pPr>
      <w:r>
        <w:rPr>
          <w:rFonts w:ascii="Arial Unicode MS" w:hAnsi="Arial Unicode MS" w:eastAsia="Arial Unicode MS" w:cs="Arial Unicode MS"/>
          <w:b w:val="0"/>
          <w:i w:val="0"/>
        </w:rPr>
        <w:t>第16条（教育）</w:t>
      </w:r>
    </w:p>
    <w:p>
      <w:pPr>
        <w:spacing w:before="0" w:after="120" w:line="264" w:lineRule="auto"/>
      </w:pPr>
      <w:r>
        <w:rPr>
          <w:rFonts w:ascii="Arial Unicode MS" w:hAnsi="Arial Unicode MS" w:eastAsia="Arial Unicode MS" w:cs="Arial Unicode MS"/>
          <w:b w:val="0"/>
          <w:i w:val="0"/>
        </w:rPr>
        <w:t>管理部は、役員及び従業員に対して、コンプライアンス、情報セキュリティ、個人情報保護、反社会的勢力対応、内部通報その他必要な教育及び周知を行う。</w:t>
      </w:r>
    </w:p>
    <w:p>
      <w:pPr>
        <w:pStyle w:val="Heading2"/>
      </w:pPr>
      <w:r>
        <w:rPr>
          <w:rFonts w:ascii="Arial Unicode MS" w:hAnsi="Arial Unicode MS" w:eastAsia="Arial Unicode MS" w:cs="Arial Unicode MS"/>
          <w:b w:val="0"/>
          <w:i w:val="0"/>
        </w:rPr>
        <w:t>第17条（定期点検）</w:t>
      </w:r>
    </w:p>
    <w:p>
      <w:pPr>
        <w:spacing w:before="0" w:after="120" w:line="264" w:lineRule="auto"/>
      </w:pPr>
      <w:r>
        <w:rPr>
          <w:rFonts w:ascii="Arial Unicode MS" w:hAnsi="Arial Unicode MS" w:eastAsia="Arial Unicode MS" w:cs="Arial Unicode MS"/>
          <w:b w:val="0"/>
          <w:i w:val="0"/>
        </w:rPr>
        <w:t>管理部は、少なくとも年1回、リスク・コンプライアンス管理の状況を点検し、必要に応じて改善する。</w:t>
      </w:r>
    </w:p>
    <w:p>
      <w:pPr>
        <w:pStyle w:val="Heading1"/>
      </w:pPr>
      <w:r>
        <w:rPr>
          <w:rFonts w:ascii="Arial Unicode MS" w:hAnsi="Arial Unicode MS" w:eastAsia="Arial Unicode MS" w:cs="Arial Unicode MS"/>
          <w:b w:val="0"/>
          <w:i w:val="0"/>
        </w:rPr>
        <w:t>第7章 保存</w:t>
      </w:r>
    </w:p>
    <w:p>
      <w:pPr>
        <w:pStyle w:val="Heading2"/>
      </w:pPr>
      <w:r>
        <w:rPr>
          <w:rFonts w:ascii="Arial Unicode MS" w:hAnsi="Arial Unicode MS" w:eastAsia="Arial Unicode MS" w:cs="Arial Unicode MS"/>
          <w:b w:val="0"/>
          <w:i w:val="0"/>
        </w:rPr>
        <w:t>第18条（記録）</w:t>
      </w:r>
    </w:p>
    <w:p>
      <w:pPr>
        <w:spacing w:before="0" w:after="120" w:line="264" w:lineRule="auto"/>
      </w:pPr>
      <w:r>
        <w:rPr>
          <w:rFonts w:ascii="Arial Unicode MS" w:hAnsi="Arial Unicode MS" w:eastAsia="Arial Unicode MS" w:cs="Arial Unicode MS"/>
          <w:b w:val="0"/>
          <w:i w:val="0"/>
        </w:rPr>
        <w:t>リスク評価、対応策、違反報告、調査、是正措置、再発防止策、教育記録、経営会議又は取締役会への報告資料は、管理部が保存管理する。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リスク・コンプライアンス管理責任者</w:t>
      </w:r>
    </w:p>
    <w:p>
      <w:pPr>
        <w:pStyle w:val="ListBullet"/>
        <w:spacing w:before="0" w:after="160" w:line="280" w:lineRule="auto"/>
        <w:ind w:left="720" w:hanging="360"/>
      </w:pPr>
      <w:r>
        <w:rPr>
          <w:rFonts w:ascii="Arial Unicode MS" w:hAnsi="Arial Unicode MS" w:eastAsia="Arial Unicode MS" w:cs="Arial Unicode MS"/>
          <w:b w:val="0"/>
          <w:i w:val="0"/>
        </w:rPr>
        <w:t>月次で経営会議に報告する項目</w:t>
      </w:r>
    </w:p>
    <w:p>
      <w:pPr>
        <w:pStyle w:val="ListBullet"/>
        <w:spacing w:before="0" w:after="160" w:line="280" w:lineRule="auto"/>
        <w:ind w:left="720" w:hanging="360"/>
      </w:pPr>
      <w:r>
        <w:rPr>
          <w:rFonts w:ascii="Arial Unicode MS" w:hAnsi="Arial Unicode MS" w:eastAsia="Arial Unicode MS" w:cs="Arial Unicode MS"/>
          <w:b w:val="0"/>
          <w:i w:val="0"/>
        </w:rPr>
        <w:t>重大リスクの取締役会報告基準</w:t>
      </w:r>
    </w:p>
    <w:p>
      <w:pPr>
        <w:pStyle w:val="ListBullet"/>
        <w:spacing w:before="0" w:after="160" w:line="280" w:lineRule="auto"/>
        <w:ind w:left="720" w:hanging="360"/>
      </w:pPr>
      <w:r>
        <w:rPr>
          <w:rFonts w:ascii="Arial Unicode MS" w:hAnsi="Arial Unicode MS" w:eastAsia="Arial Unicode MS" w:cs="Arial Unicode MS"/>
          <w:b w:val="0"/>
          <w:i w:val="0"/>
        </w:rPr>
        <w:t>コンプライアンス教育の実施時期</w:t>
      </w:r>
    </w:p>
    <w:p>
      <w:pPr>
        <w:pStyle w:val="ListBullet"/>
        <w:spacing w:before="0" w:after="160" w:line="280" w:lineRule="auto"/>
        <w:ind w:left="720" w:hanging="360"/>
      </w:pPr>
      <w:r>
        <w:rPr>
          <w:rFonts w:ascii="Arial Unicode MS" w:hAnsi="Arial Unicode MS" w:eastAsia="Arial Unicode MS" w:cs="Arial Unicode MS"/>
          <w:b w:val="0"/>
          <w:i w:val="0"/>
        </w:rPr>
        <w:t>リスク管理表の運用方法</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リスク・コンプライアンス管理規程（ドラフト）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リスク・コンプライアンス管理規程（ドラフト）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