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クレーム管理規程（ドラフト）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顧客、取引先、受講者、SaaS利用者その他関係者からのクレーム、苦情、問い合わせ及び事故報告を適切に受付、記録、対応、報告及び再発防止するための基本事項を定め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本規程は、会社が提供するAI研修、AI伴走、OEM、AI受託開発、SaaS、キャリアコーチングその他すべてのサービス及び業務に関するクレームに適用する。</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けるクレームとは、サービス内容、品質、納期、契約、請求、個人情報、情報セキュリティ、従業員対応、外注先対応その他会社の業務に関する不満、苦情、異議、損害発生又はそのおそれに関する申し出をいう。</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クレーム管理の主管部署は、管理部とする。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営業部その他担当部門は、クレームの一次受付、事実確認、顧客対応及び管理部への報告を行う。</w:t>
      </w:r>
    </w:p>
    <w:p>
      <w:pPr>
        <w:pStyle w:val="Heading2"/>
      </w:pPr>
      <w:r>
        <w:rPr>
          <w:rFonts w:ascii="Arial Unicode MS" w:hAnsi="Arial Unicode MS" w:eastAsia="Arial Unicode MS" w:cs="Arial Unicode MS"/>
          <w:b w:val="0"/>
          <w:i w:val="0"/>
        </w:rPr>
        <w:t>第5条（責任者）</w:t>
      </w:r>
    </w:p>
    <w:p>
      <w:pPr>
        <w:spacing w:before="0" w:after="120" w:line="264" w:lineRule="auto"/>
      </w:pPr>
      <w:r>
        <w:rPr>
          <w:rFonts w:ascii="Arial Unicode MS" w:hAnsi="Arial Unicode MS" w:eastAsia="Arial Unicode MS" w:cs="Arial Unicode MS"/>
          <w:b w:val="0"/>
          <w:i w:val="0"/>
        </w:rPr>
        <w:t>クレーム管理責任者は、代表取締役社長又は代表取締役社長が指名する者とする。</w:t>
      </w:r>
    </w:p>
    <w:p>
      <w:pPr>
        <w:pStyle w:val="Heading1"/>
      </w:pPr>
      <w:r>
        <w:rPr>
          <w:rFonts w:ascii="Arial Unicode MS" w:hAnsi="Arial Unicode MS" w:eastAsia="Arial Unicode MS" w:cs="Arial Unicode MS"/>
          <w:b w:val="0"/>
          <w:i w:val="0"/>
        </w:rPr>
        <w:t>第3章 受付及び記録</w:t>
      </w:r>
    </w:p>
    <w:p>
      <w:pPr>
        <w:pStyle w:val="Heading2"/>
      </w:pPr>
      <w:r>
        <w:rPr>
          <w:rFonts w:ascii="Arial Unicode MS" w:hAnsi="Arial Unicode MS" w:eastAsia="Arial Unicode MS" w:cs="Arial Unicode MS"/>
          <w:b w:val="0"/>
          <w:i w:val="0"/>
        </w:rPr>
        <w:t>第6条（受付）</w:t>
      </w:r>
    </w:p>
    <w:p>
      <w:pPr>
        <w:spacing w:before="0" w:after="120" w:line="264" w:lineRule="auto"/>
      </w:pPr>
      <w:r>
        <w:rPr>
          <w:rFonts w:ascii="Arial Unicode MS" w:hAnsi="Arial Unicode MS" w:eastAsia="Arial Unicode MS" w:cs="Arial Unicode MS"/>
          <w:b w:val="0"/>
          <w:i w:val="0"/>
        </w:rPr>
        <w:t>クレームを受けた者は、速やかに担当部門及び管理部へ報告する。</w:t>
      </w:r>
    </w:p>
    <w:p>
      <w:pPr>
        <w:pStyle w:val="Heading2"/>
      </w:pPr>
      <w:r>
        <w:rPr>
          <w:rFonts w:ascii="Arial Unicode MS" w:hAnsi="Arial Unicode MS" w:eastAsia="Arial Unicode MS" w:cs="Arial Unicode MS"/>
          <w:b w:val="0"/>
          <w:i w:val="0"/>
        </w:rPr>
        <w:t>第7条（記録）</w:t>
      </w:r>
    </w:p>
    <w:p>
      <w:pPr>
        <w:spacing w:before="0" w:after="120" w:line="264" w:lineRule="auto"/>
      </w:pPr>
      <w:r>
        <w:rPr>
          <w:rFonts w:ascii="Arial Unicode MS" w:hAnsi="Arial Unicode MS" w:eastAsia="Arial Unicode MS" w:cs="Arial Unicode MS"/>
          <w:b w:val="0"/>
          <w:i w:val="0"/>
        </w:rPr>
        <w:t>担当部門又は管理部は、クレームを受け付けた場合、クレーム管理台帳に記録する。</w:t>
      </w:r>
    </w:p>
    <w:p>
      <w:pPr>
        <w:pStyle w:val="ListNumber"/>
        <w:spacing w:before="0" w:after="160" w:line="280" w:lineRule="auto"/>
        <w:ind w:left="720" w:hanging="360"/>
      </w:pPr>
      <w:r>
        <w:rPr>
          <w:rFonts w:ascii="Arial Unicode MS" w:hAnsi="Arial Unicode MS" w:eastAsia="Arial Unicode MS" w:cs="Arial Unicode MS"/>
          <w:b w:val="0"/>
          <w:i w:val="0"/>
        </w:rPr>
        <w:t>クレーム管理台帳には、受付日、受付者、申出者、関係先、対象サービス、内容、重大度、対応担当者、対応状況、原因、再発防止策、完了日を記録する。</w:t>
      </w:r>
    </w:p>
    <w:p>
      <w:pPr>
        <w:pStyle w:val="Heading1"/>
      </w:pPr>
      <w:r>
        <w:rPr>
          <w:rFonts w:ascii="Arial Unicode MS" w:hAnsi="Arial Unicode MS" w:eastAsia="Arial Unicode MS" w:cs="Arial Unicode MS"/>
          <w:b w:val="0"/>
          <w:i w:val="0"/>
        </w:rPr>
        <w:t>第4章 重大度区分</w:t>
      </w:r>
    </w:p>
    <w:p>
      <w:pPr>
        <w:pStyle w:val="Heading2"/>
      </w:pPr>
      <w:r>
        <w:rPr>
          <w:rFonts w:ascii="Arial Unicode MS" w:hAnsi="Arial Unicode MS" w:eastAsia="Arial Unicode MS" w:cs="Arial Unicode MS"/>
          <w:b w:val="0"/>
          <w:i w:val="0"/>
        </w:rPr>
        <w:t>第8条（重大度）</w:t>
      </w:r>
    </w:p>
    <w:p>
      <w:pPr>
        <w:spacing w:before="0" w:after="120" w:line="264" w:lineRule="auto"/>
      </w:pPr>
      <w:r>
        <w:rPr>
          <w:rFonts w:ascii="Arial Unicode MS" w:hAnsi="Arial Unicode MS" w:eastAsia="Arial Unicode MS" w:cs="Arial Unicode MS"/>
          <w:b w:val="0"/>
          <w:i w:val="0"/>
        </w:rPr>
        <w:t>クレームは、内容及び影響に応じて、次の区分に分類する。</w:t>
      </w:r>
    </w:p>
    <w:p>
      <w:pPr>
        <w:pStyle w:val="ListNumber"/>
        <w:spacing w:before="0" w:after="160" w:line="280" w:lineRule="auto"/>
        <w:ind w:left="720" w:hanging="360"/>
      </w:pPr>
      <w:r>
        <w:rPr>
          <w:rFonts w:ascii="Arial Unicode MS" w:hAnsi="Arial Unicode MS" w:eastAsia="Arial Unicode MS" w:cs="Arial Unicode MS"/>
          <w:b w:val="0"/>
          <w:i w:val="0"/>
        </w:rPr>
        <w:t>重大：法令違反、個人情報漏えい、情報セキュリティ事故、損害賠償、契約解除、SNS拡散、行政対応、上場準備上重要な信用毀損につながるもの</w:t>
      </w:r>
    </w:p>
    <w:p>
      <w:pPr>
        <w:pStyle w:val="ListNumber"/>
        <w:spacing w:before="0" w:after="160" w:line="280" w:lineRule="auto"/>
        <w:ind w:left="720" w:hanging="360"/>
      </w:pPr>
      <w:r>
        <w:rPr>
          <w:rFonts w:ascii="Arial Unicode MS" w:hAnsi="Arial Unicode MS" w:eastAsia="Arial Unicode MS" w:cs="Arial Unicode MS"/>
          <w:b w:val="0"/>
          <w:i w:val="0"/>
        </w:rPr>
        <w:t>中度：顧客満足、納期、品質、請求、契約条件、担当者対応に関する重要な不満で、部門横断対応を要するもの</w:t>
      </w:r>
    </w:p>
    <w:p>
      <w:pPr>
        <w:pStyle w:val="ListNumber"/>
        <w:spacing w:before="0" w:after="160" w:line="280" w:lineRule="auto"/>
        <w:ind w:left="720" w:hanging="360"/>
      </w:pPr>
      <w:r>
        <w:rPr>
          <w:rFonts w:ascii="Arial Unicode MS" w:hAnsi="Arial Unicode MS" w:eastAsia="Arial Unicode MS" w:cs="Arial Unicode MS"/>
          <w:b w:val="0"/>
          <w:i w:val="0"/>
        </w:rPr>
        <w:t>軽微：通常の問い合わせ又は軽微な不満で、担当部門で対応可能なもの</w:t>
      </w:r>
    </w:p>
    <w:p>
      <w:pPr>
        <w:pStyle w:val="Heading2"/>
      </w:pPr>
      <w:r>
        <w:rPr>
          <w:rFonts w:ascii="Arial Unicode MS" w:hAnsi="Arial Unicode MS" w:eastAsia="Arial Unicode MS" w:cs="Arial Unicode MS"/>
          <w:b w:val="0"/>
          <w:i w:val="0"/>
        </w:rPr>
        <w:t>第9条（重大クレームの報告）</w:t>
      </w:r>
    </w:p>
    <w:p>
      <w:pPr>
        <w:spacing w:before="0" w:after="120" w:line="264" w:lineRule="auto"/>
      </w:pPr>
      <w:r>
        <w:rPr>
          <w:rFonts w:ascii="Arial Unicode MS" w:hAnsi="Arial Unicode MS" w:eastAsia="Arial Unicode MS" w:cs="Arial Unicode MS"/>
          <w:b w:val="0"/>
          <w:i w:val="0"/>
        </w:rPr>
        <w:t>重大クレームを把握した場合、担当部門は、直ちに管理部及び代表取締役社長へ報告する。</w:t>
      </w:r>
    </w:p>
    <w:p>
      <w:pPr>
        <w:pStyle w:val="ListNumber"/>
        <w:spacing w:before="0" w:after="160" w:line="280" w:lineRule="auto"/>
        <w:ind w:left="720" w:hanging="360"/>
      </w:pPr>
      <w:r>
        <w:rPr>
          <w:rFonts w:ascii="Arial Unicode MS" w:hAnsi="Arial Unicode MS" w:eastAsia="Arial Unicode MS" w:cs="Arial Unicode MS"/>
          <w:b w:val="0"/>
          <w:i w:val="0"/>
        </w:rPr>
        <w:t>管理部は、重大クレームを経営会議に報告し、必要に応じて取締役会に報告する。</w:t>
      </w:r>
    </w:p>
    <w:p>
      <w:pPr>
        <w:pStyle w:val="Heading1"/>
      </w:pPr>
      <w:r>
        <w:rPr>
          <w:rFonts w:ascii="Arial Unicode MS" w:hAnsi="Arial Unicode MS" w:eastAsia="Arial Unicode MS" w:cs="Arial Unicode MS"/>
          <w:b w:val="0"/>
          <w:i w:val="0"/>
        </w:rPr>
        <w:t>第5章 対応</w:t>
      </w:r>
    </w:p>
    <w:p>
      <w:pPr>
        <w:pStyle w:val="Heading2"/>
      </w:pPr>
      <w:r>
        <w:rPr>
          <w:rFonts w:ascii="Arial Unicode MS" w:hAnsi="Arial Unicode MS" w:eastAsia="Arial Unicode MS" w:cs="Arial Unicode MS"/>
          <w:b w:val="0"/>
          <w:i w:val="0"/>
        </w:rPr>
        <w:t>第10条（初動対応）</w:t>
      </w:r>
    </w:p>
    <w:p>
      <w:pPr>
        <w:spacing w:before="0" w:after="120" w:line="264" w:lineRule="auto"/>
      </w:pPr>
      <w:r>
        <w:rPr>
          <w:rFonts w:ascii="Arial Unicode MS" w:hAnsi="Arial Unicode MS" w:eastAsia="Arial Unicode MS" w:cs="Arial Unicode MS"/>
          <w:b w:val="0"/>
          <w:i w:val="0"/>
        </w:rPr>
        <w:t>担当部門は、クレーム内容を確認し、申出者に対して必要な初動対応を行う。</w:t>
      </w:r>
    </w:p>
    <w:p>
      <w:pPr>
        <w:pStyle w:val="ListNumber"/>
        <w:spacing w:before="0" w:after="160" w:line="280" w:lineRule="auto"/>
        <w:ind w:left="720" w:hanging="360"/>
      </w:pPr>
      <w:r>
        <w:rPr>
          <w:rFonts w:ascii="Arial Unicode MS" w:hAnsi="Arial Unicode MS" w:eastAsia="Arial Unicode MS" w:cs="Arial Unicode MS"/>
          <w:b w:val="0"/>
          <w:i w:val="0"/>
        </w:rPr>
        <w:t>初動対応では、事実確認前に不用意な責任認定、補償約束、契約解除の承諾その他会社に重大な影響を与える発言をしてはならない。</w:t>
      </w:r>
    </w:p>
    <w:p>
      <w:pPr>
        <w:pStyle w:val="Heading2"/>
      </w:pPr>
      <w:r>
        <w:rPr>
          <w:rFonts w:ascii="Arial Unicode MS" w:hAnsi="Arial Unicode MS" w:eastAsia="Arial Unicode MS" w:cs="Arial Unicode MS"/>
          <w:b w:val="0"/>
          <w:i w:val="0"/>
        </w:rPr>
        <w:t>第11条（事実確認）</w:t>
      </w:r>
    </w:p>
    <w:p>
      <w:pPr>
        <w:spacing w:before="0" w:after="120" w:line="264" w:lineRule="auto"/>
      </w:pPr>
      <w:r>
        <w:rPr>
          <w:rFonts w:ascii="Arial Unicode MS" w:hAnsi="Arial Unicode MS" w:eastAsia="Arial Unicode MS" w:cs="Arial Unicode MS"/>
          <w:b w:val="0"/>
          <w:i w:val="0"/>
        </w:rPr>
        <w:t>担当部門及び管理部は、関係資料、契約書、見積書、請求書、業務記録、システムログ、関係者ヒアリングその他必要な方法により事実確認を行う。</w:t>
      </w:r>
    </w:p>
    <w:p>
      <w:pPr>
        <w:pStyle w:val="Heading2"/>
      </w:pPr>
      <w:r>
        <w:rPr>
          <w:rFonts w:ascii="Arial Unicode MS" w:hAnsi="Arial Unicode MS" w:eastAsia="Arial Unicode MS" w:cs="Arial Unicode MS"/>
          <w:b w:val="0"/>
          <w:i w:val="0"/>
        </w:rPr>
        <w:t>第12条（対応方針）</w:t>
      </w:r>
    </w:p>
    <w:p>
      <w:pPr>
        <w:spacing w:before="0" w:after="120" w:line="264" w:lineRule="auto"/>
      </w:pPr>
      <w:r>
        <w:rPr>
          <w:rFonts w:ascii="Arial Unicode MS" w:hAnsi="Arial Unicode MS" w:eastAsia="Arial Unicode MS" w:cs="Arial Unicode MS"/>
          <w:b w:val="0"/>
          <w:i w:val="0"/>
        </w:rPr>
        <w:t>クレームへの対応方針は、内容、重大度、契約条件、法的リスク、顧客影響、再発防止の必要性を踏まえて決定する。</w:t>
      </w:r>
    </w:p>
    <w:p>
      <w:pPr>
        <w:pStyle w:val="ListNumber"/>
        <w:spacing w:before="0" w:after="160" w:line="280" w:lineRule="auto"/>
        <w:ind w:left="720" w:hanging="360"/>
      </w:pPr>
      <w:r>
        <w:rPr>
          <w:rFonts w:ascii="Arial Unicode MS" w:hAnsi="Arial Unicode MS" w:eastAsia="Arial Unicode MS" w:cs="Arial Unicode MS"/>
          <w:b w:val="0"/>
          <w:i w:val="0"/>
        </w:rPr>
        <w:t>重大クレームの対応方針は、代表取締役社長の承認を得る。</w:t>
      </w:r>
    </w:p>
    <w:p>
      <w:pPr>
        <w:pStyle w:val="Heading2"/>
      </w:pPr>
      <w:r>
        <w:rPr>
          <w:rFonts w:ascii="Arial Unicode MS" w:hAnsi="Arial Unicode MS" w:eastAsia="Arial Unicode MS" w:cs="Arial Unicode MS"/>
          <w:b w:val="0"/>
          <w:i w:val="0"/>
        </w:rPr>
        <w:t>第13条（個人情報・情報セキュリティ事故）</w:t>
      </w:r>
    </w:p>
    <w:p>
      <w:pPr>
        <w:spacing w:before="0" w:after="120" w:line="264" w:lineRule="auto"/>
      </w:pPr>
      <w:r>
        <w:rPr>
          <w:rFonts w:ascii="Arial Unicode MS" w:hAnsi="Arial Unicode MS" w:eastAsia="Arial Unicode MS" w:cs="Arial Unicode MS"/>
          <w:b w:val="0"/>
          <w:i w:val="0"/>
        </w:rPr>
        <w:t>個人情報漏えい又は情報セキュリティ事故を含むクレームについては、個人情報保護基本規程及び情報セキュリティ規程に従い対応する。</w:t>
      </w:r>
    </w:p>
    <w:p>
      <w:pPr>
        <w:pStyle w:val="Heading1"/>
      </w:pPr>
      <w:r>
        <w:rPr>
          <w:rFonts w:ascii="Arial Unicode MS" w:hAnsi="Arial Unicode MS" w:eastAsia="Arial Unicode MS" w:cs="Arial Unicode MS"/>
          <w:b w:val="0"/>
          <w:i w:val="0"/>
        </w:rPr>
        <w:t>第6章 原因分析及び再発防止</w:t>
      </w:r>
    </w:p>
    <w:p>
      <w:pPr>
        <w:pStyle w:val="Heading2"/>
      </w:pPr>
      <w:r>
        <w:rPr>
          <w:rFonts w:ascii="Arial Unicode MS" w:hAnsi="Arial Unicode MS" w:eastAsia="Arial Unicode MS" w:cs="Arial Unicode MS"/>
          <w:b w:val="0"/>
          <w:i w:val="0"/>
        </w:rPr>
        <w:t>第14条（原因分析）</w:t>
      </w:r>
    </w:p>
    <w:p>
      <w:pPr>
        <w:spacing w:before="0" w:after="120" w:line="264" w:lineRule="auto"/>
      </w:pPr>
      <w:r>
        <w:rPr>
          <w:rFonts w:ascii="Arial Unicode MS" w:hAnsi="Arial Unicode MS" w:eastAsia="Arial Unicode MS" w:cs="Arial Unicode MS"/>
          <w:b w:val="0"/>
          <w:i w:val="0"/>
        </w:rPr>
        <w:t>担当部門及び管理部は、必要に応じて、クレームの発生原因を分析する。</w:t>
      </w:r>
    </w:p>
    <w:p>
      <w:pPr>
        <w:pStyle w:val="Heading2"/>
      </w:pPr>
      <w:r>
        <w:rPr>
          <w:rFonts w:ascii="Arial Unicode MS" w:hAnsi="Arial Unicode MS" w:eastAsia="Arial Unicode MS" w:cs="Arial Unicode MS"/>
          <w:b w:val="0"/>
          <w:i w:val="0"/>
        </w:rPr>
        <w:t>第15条（再発防止策）</w:t>
      </w:r>
    </w:p>
    <w:p>
      <w:pPr>
        <w:spacing w:before="0" w:after="120" w:line="264" w:lineRule="auto"/>
      </w:pPr>
      <w:r>
        <w:rPr>
          <w:rFonts w:ascii="Arial Unicode MS" w:hAnsi="Arial Unicode MS" w:eastAsia="Arial Unicode MS" w:cs="Arial Unicode MS"/>
          <w:b w:val="0"/>
          <w:i w:val="0"/>
        </w:rPr>
        <w:t>クレームの原因が業務手順、品質管理、契約、説明、システム、外注先、教育その他会社側にある場合、担当部門は再発防止策を作成し、管理部へ報告する。</w:t>
      </w:r>
    </w:p>
    <w:p>
      <w:pPr>
        <w:pStyle w:val="Heading2"/>
      </w:pPr>
      <w:r>
        <w:rPr>
          <w:rFonts w:ascii="Arial Unicode MS" w:hAnsi="Arial Unicode MS" w:eastAsia="Arial Unicode MS" w:cs="Arial Unicode MS"/>
          <w:b w:val="0"/>
          <w:i w:val="0"/>
        </w:rPr>
        <w:t>第16条（フォローアップ）</w:t>
      </w:r>
    </w:p>
    <w:p>
      <w:pPr>
        <w:spacing w:before="0" w:after="120" w:line="264" w:lineRule="auto"/>
      </w:pPr>
      <w:r>
        <w:rPr>
          <w:rFonts w:ascii="Arial Unicode MS" w:hAnsi="Arial Unicode MS" w:eastAsia="Arial Unicode MS" w:cs="Arial Unicode MS"/>
          <w:b w:val="0"/>
          <w:i w:val="0"/>
        </w:rPr>
        <w:t>管理部は、再発防止策の実施状況を確認する。</w:t>
      </w:r>
    </w:p>
    <w:p>
      <w:pPr>
        <w:pStyle w:val="Heading1"/>
      </w:pPr>
      <w:r>
        <w:rPr>
          <w:rFonts w:ascii="Arial Unicode MS" w:hAnsi="Arial Unicode MS" w:eastAsia="Arial Unicode MS" w:cs="Arial Unicode MS"/>
          <w:b w:val="0"/>
          <w:i w:val="0"/>
        </w:rPr>
        <w:t>第7章 報告及び保存</w:t>
      </w:r>
    </w:p>
    <w:p>
      <w:pPr>
        <w:pStyle w:val="Heading2"/>
      </w:pPr>
      <w:r>
        <w:rPr>
          <w:rFonts w:ascii="Arial Unicode MS" w:hAnsi="Arial Unicode MS" w:eastAsia="Arial Unicode MS" w:cs="Arial Unicode MS"/>
          <w:b w:val="0"/>
          <w:i w:val="0"/>
        </w:rPr>
        <w:t>第17条（定期報告）</w:t>
      </w:r>
    </w:p>
    <w:p>
      <w:pPr>
        <w:spacing w:before="0" w:after="120" w:line="264" w:lineRule="auto"/>
      </w:pPr>
      <w:r>
        <w:rPr>
          <w:rFonts w:ascii="Arial Unicode MS" w:hAnsi="Arial Unicode MS" w:eastAsia="Arial Unicode MS" w:cs="Arial Unicode MS"/>
          <w:b w:val="0"/>
          <w:i w:val="0"/>
        </w:rPr>
        <w:t>管理部は、クレームの発生状況、重大クレーム、未解決案件、再発防止策の実施状況を、必要に応じて経営会議に報告する。</w:t>
      </w:r>
    </w:p>
    <w:p>
      <w:pPr>
        <w:pStyle w:val="Heading2"/>
      </w:pPr>
      <w:r>
        <w:rPr>
          <w:rFonts w:ascii="Arial Unicode MS" w:hAnsi="Arial Unicode MS" w:eastAsia="Arial Unicode MS" w:cs="Arial Unicode MS"/>
          <w:b w:val="0"/>
          <w:i w:val="0"/>
        </w:rPr>
        <w:t>第18条（保存）</w:t>
      </w:r>
    </w:p>
    <w:p>
      <w:pPr>
        <w:spacing w:before="0" w:after="120" w:line="264" w:lineRule="auto"/>
      </w:pPr>
      <w:r>
        <w:rPr>
          <w:rFonts w:ascii="Arial Unicode MS" w:hAnsi="Arial Unicode MS" w:eastAsia="Arial Unicode MS" w:cs="Arial Unicode MS"/>
          <w:b w:val="0"/>
          <w:i w:val="0"/>
        </w:rPr>
        <w:t>クレーム管理台帳、関係資料、対応記録、原因分析、再発防止策その他クレーム管理に関する資料は、管理部又は担当部門が保存管理する。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クレーム管理台帳項目案</w:t>
      </w:r>
    </w:p>
    <w:p>
      <w:pPr>
        <w:pStyle w:val="ListBullet"/>
        <w:spacing w:before="0" w:after="160" w:line="280" w:lineRule="auto"/>
        <w:ind w:left="720" w:hanging="360"/>
      </w:pPr>
      <w:r>
        <w:rPr>
          <w:rFonts w:ascii="Arial Unicode MS" w:hAnsi="Arial Unicode MS" w:eastAsia="Arial Unicode MS" w:cs="Arial Unicode MS"/>
          <w:b w:val="0"/>
          <w:i w:val="0"/>
        </w:rPr>
        <w:t>受付日</w:t>
      </w:r>
    </w:p>
    <w:p>
      <w:pPr>
        <w:pStyle w:val="ListBullet"/>
        <w:spacing w:before="0" w:after="160" w:line="280" w:lineRule="auto"/>
        <w:ind w:left="720" w:hanging="360"/>
      </w:pPr>
      <w:r>
        <w:rPr>
          <w:rFonts w:ascii="Arial Unicode MS" w:hAnsi="Arial Unicode MS" w:eastAsia="Arial Unicode MS" w:cs="Arial Unicode MS"/>
          <w:b w:val="0"/>
          <w:i w:val="0"/>
        </w:rPr>
        <w:t>受付者</w:t>
      </w:r>
    </w:p>
    <w:p>
      <w:pPr>
        <w:pStyle w:val="ListBullet"/>
        <w:spacing w:before="0" w:after="160" w:line="280" w:lineRule="auto"/>
        <w:ind w:left="720" w:hanging="360"/>
      </w:pPr>
      <w:r>
        <w:rPr>
          <w:rFonts w:ascii="Arial Unicode MS" w:hAnsi="Arial Unicode MS" w:eastAsia="Arial Unicode MS" w:cs="Arial Unicode MS"/>
          <w:b w:val="0"/>
          <w:i w:val="0"/>
        </w:rPr>
        <w:t>申出者</w:t>
      </w:r>
    </w:p>
    <w:p>
      <w:pPr>
        <w:pStyle w:val="ListBullet"/>
        <w:spacing w:before="0" w:after="160" w:line="280" w:lineRule="auto"/>
        <w:ind w:left="720" w:hanging="360"/>
      </w:pPr>
      <w:r>
        <w:rPr>
          <w:rFonts w:ascii="Arial Unicode MS" w:hAnsi="Arial Unicode MS" w:eastAsia="Arial Unicode MS" w:cs="Arial Unicode MS"/>
          <w:b w:val="0"/>
          <w:i w:val="0"/>
        </w:rPr>
        <w:t>会社名又は関係先</w:t>
      </w:r>
    </w:p>
    <w:p>
      <w:pPr>
        <w:pStyle w:val="ListBullet"/>
        <w:spacing w:before="0" w:after="160" w:line="280" w:lineRule="auto"/>
        <w:ind w:left="720" w:hanging="360"/>
      </w:pPr>
      <w:r>
        <w:rPr>
          <w:rFonts w:ascii="Arial Unicode MS" w:hAnsi="Arial Unicode MS" w:eastAsia="Arial Unicode MS" w:cs="Arial Unicode MS"/>
          <w:b w:val="0"/>
          <w:i w:val="0"/>
        </w:rPr>
        <w:t>対象サービス</w:t>
      </w:r>
    </w:p>
    <w:p>
      <w:pPr>
        <w:pStyle w:val="ListBullet"/>
        <w:spacing w:before="0" w:after="160" w:line="280" w:lineRule="auto"/>
        <w:ind w:left="720" w:hanging="360"/>
      </w:pPr>
      <w:r>
        <w:rPr>
          <w:rFonts w:ascii="Arial Unicode MS" w:hAnsi="Arial Unicode MS" w:eastAsia="Arial Unicode MS" w:cs="Arial Unicode MS"/>
          <w:b w:val="0"/>
          <w:i w:val="0"/>
        </w:rPr>
        <w:t>クレーム内容</w:t>
      </w:r>
    </w:p>
    <w:p>
      <w:pPr>
        <w:pStyle w:val="ListBullet"/>
        <w:spacing w:before="0" w:after="160" w:line="280" w:lineRule="auto"/>
        <w:ind w:left="720" w:hanging="360"/>
      </w:pPr>
      <w:r>
        <w:rPr>
          <w:rFonts w:ascii="Arial Unicode MS" w:hAnsi="Arial Unicode MS" w:eastAsia="Arial Unicode MS" w:cs="Arial Unicode MS"/>
          <w:b w:val="0"/>
          <w:i w:val="0"/>
        </w:rPr>
        <w:t>重大度</w:t>
      </w:r>
    </w:p>
    <w:p>
      <w:pPr>
        <w:pStyle w:val="ListBullet"/>
        <w:spacing w:before="0" w:after="160" w:line="280" w:lineRule="auto"/>
        <w:ind w:left="720" w:hanging="360"/>
      </w:pPr>
      <w:r>
        <w:rPr>
          <w:rFonts w:ascii="Arial Unicode MS" w:hAnsi="Arial Unicode MS" w:eastAsia="Arial Unicode MS" w:cs="Arial Unicode MS"/>
          <w:b w:val="0"/>
          <w:i w:val="0"/>
        </w:rPr>
        <w:t>対応担当者</w:t>
      </w:r>
    </w:p>
    <w:p>
      <w:pPr>
        <w:pStyle w:val="ListBullet"/>
        <w:spacing w:before="0" w:after="160" w:line="280" w:lineRule="auto"/>
        <w:ind w:left="720" w:hanging="360"/>
      </w:pPr>
      <w:r>
        <w:rPr>
          <w:rFonts w:ascii="Arial Unicode MS" w:hAnsi="Arial Unicode MS" w:eastAsia="Arial Unicode MS" w:cs="Arial Unicode MS"/>
          <w:b w:val="0"/>
          <w:i w:val="0"/>
        </w:rPr>
        <w:t>初動対応日</w:t>
      </w:r>
    </w:p>
    <w:p>
      <w:pPr>
        <w:pStyle w:val="ListBullet"/>
        <w:spacing w:before="0" w:after="160" w:line="280" w:lineRule="auto"/>
        <w:ind w:left="720" w:hanging="360"/>
      </w:pPr>
      <w:r>
        <w:rPr>
          <w:rFonts w:ascii="Arial Unicode MS" w:hAnsi="Arial Unicode MS" w:eastAsia="Arial Unicode MS" w:cs="Arial Unicode MS"/>
          <w:b w:val="0"/>
          <w:i w:val="0"/>
        </w:rPr>
        <w:t>事実確認結果</w:t>
      </w:r>
    </w:p>
    <w:p>
      <w:pPr>
        <w:pStyle w:val="ListBullet"/>
        <w:spacing w:before="0" w:after="160" w:line="280" w:lineRule="auto"/>
        <w:ind w:left="720" w:hanging="360"/>
      </w:pPr>
      <w:r>
        <w:rPr>
          <w:rFonts w:ascii="Arial Unicode MS" w:hAnsi="Arial Unicode MS" w:eastAsia="Arial Unicode MS" w:cs="Arial Unicode MS"/>
          <w:b w:val="0"/>
          <w:i w:val="0"/>
        </w:rPr>
        <w:t>原因</w:t>
      </w:r>
    </w:p>
    <w:p>
      <w:pPr>
        <w:pStyle w:val="ListBullet"/>
        <w:spacing w:before="0" w:after="160" w:line="280" w:lineRule="auto"/>
        <w:ind w:left="720" w:hanging="360"/>
      </w:pPr>
      <w:r>
        <w:rPr>
          <w:rFonts w:ascii="Arial Unicode MS" w:hAnsi="Arial Unicode MS" w:eastAsia="Arial Unicode MS" w:cs="Arial Unicode MS"/>
          <w:b w:val="0"/>
          <w:i w:val="0"/>
        </w:rPr>
        <w:t>対応方針</w:t>
      </w:r>
    </w:p>
    <w:p>
      <w:pPr>
        <w:pStyle w:val="ListBullet"/>
        <w:spacing w:before="0" w:after="160" w:line="280" w:lineRule="auto"/>
        <w:ind w:left="720" w:hanging="360"/>
      </w:pPr>
      <w:r>
        <w:rPr>
          <w:rFonts w:ascii="Arial Unicode MS" w:hAnsi="Arial Unicode MS" w:eastAsia="Arial Unicode MS" w:cs="Arial Unicode MS"/>
          <w:b w:val="0"/>
          <w:i w:val="0"/>
        </w:rPr>
        <w:t>再発防止策</w:t>
      </w:r>
    </w:p>
    <w:p>
      <w:pPr>
        <w:pStyle w:val="ListBullet"/>
        <w:spacing w:before="0" w:after="160" w:line="280" w:lineRule="auto"/>
        <w:ind w:left="720" w:hanging="360"/>
      </w:pPr>
      <w:r>
        <w:rPr>
          <w:rFonts w:ascii="Arial Unicode MS" w:hAnsi="Arial Unicode MS" w:eastAsia="Arial Unicode MS" w:cs="Arial Unicode MS"/>
          <w:b w:val="0"/>
          <w:i w:val="0"/>
        </w:rPr>
        <w:t>完了日</w:t>
      </w:r>
    </w:p>
    <w:p>
      <w:pPr>
        <w:pStyle w:val="ListBullet"/>
        <w:spacing w:before="0" w:after="160" w:line="280" w:lineRule="auto"/>
        <w:ind w:left="720" w:hanging="360"/>
      </w:pPr>
      <w:r>
        <w:rPr>
          <w:rFonts w:ascii="Arial Unicode MS" w:hAnsi="Arial Unicode MS" w:eastAsia="Arial Unicode MS" w:cs="Arial Unicode MS"/>
          <w:b w:val="0"/>
          <w:i w:val="0"/>
        </w:rPr>
        <w:t>経営会議報告要否</w:t>
      </w:r>
    </w:p>
    <w:p>
      <w:pPr>
        <w:pStyle w:val="ListBullet"/>
        <w:spacing w:before="0" w:after="160" w:line="280" w:lineRule="auto"/>
        <w:ind w:left="720" w:hanging="360"/>
      </w:pPr>
      <w:r>
        <w:rPr>
          <w:rFonts w:ascii="Arial Unicode MS" w:hAnsi="Arial Unicode MS" w:eastAsia="Arial Unicode MS" w:cs="Arial Unicode MS"/>
          <w:b w:val="0"/>
          <w:i w:val="0"/>
        </w:rPr>
        <w:t>取締役会報告要否</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クレーム一次受付部門</w:t>
      </w:r>
    </w:p>
    <w:p>
      <w:pPr>
        <w:pStyle w:val="ListBullet"/>
        <w:spacing w:before="0" w:after="160" w:line="280" w:lineRule="auto"/>
        <w:ind w:left="720" w:hanging="360"/>
      </w:pPr>
      <w:r>
        <w:rPr>
          <w:rFonts w:ascii="Arial Unicode MS" w:hAnsi="Arial Unicode MS" w:eastAsia="Arial Unicode MS" w:cs="Arial Unicode MS"/>
          <w:b w:val="0"/>
          <w:i w:val="0"/>
        </w:rPr>
        <w:t>クレーム管理責任者</w:t>
      </w:r>
    </w:p>
    <w:p>
      <w:pPr>
        <w:pStyle w:val="ListBullet"/>
        <w:spacing w:before="0" w:after="160" w:line="280" w:lineRule="auto"/>
        <w:ind w:left="720" w:hanging="360"/>
      </w:pPr>
      <w:r>
        <w:rPr>
          <w:rFonts w:ascii="Arial Unicode MS" w:hAnsi="Arial Unicode MS" w:eastAsia="Arial Unicode MS" w:cs="Arial Unicode MS"/>
          <w:b w:val="0"/>
          <w:i w:val="0"/>
        </w:rPr>
        <w:t>クレーム管理台帳をNotionで作るか</w:t>
      </w:r>
    </w:p>
    <w:p>
      <w:pPr>
        <w:pStyle w:val="ListBullet"/>
        <w:spacing w:before="0" w:after="160" w:line="280" w:lineRule="auto"/>
        <w:ind w:left="720" w:hanging="360"/>
      </w:pPr>
      <w:r>
        <w:rPr>
          <w:rFonts w:ascii="Arial Unicode MS" w:hAnsi="Arial Unicode MS" w:eastAsia="Arial Unicode MS" w:cs="Arial Unicode MS"/>
          <w:b w:val="0"/>
          <w:i w:val="0"/>
        </w:rPr>
        <w:t>重大クレームの報告基準</w:t>
      </w:r>
    </w:p>
    <w:p>
      <w:pPr>
        <w:pStyle w:val="ListBullet"/>
        <w:spacing w:before="0" w:after="160" w:line="280" w:lineRule="auto"/>
        <w:ind w:left="720" w:hanging="360"/>
      </w:pPr>
      <w:r>
        <w:rPr>
          <w:rFonts w:ascii="Arial Unicode MS" w:hAnsi="Arial Unicode MS" w:eastAsia="Arial Unicode MS" w:cs="Arial Unicode MS"/>
          <w:b w:val="0"/>
          <w:i w:val="0"/>
        </w:rPr>
        <w:t>顧客対応文面の承認者</w:t>
      </w:r>
    </w:p>
    <w:p>
      <w:pPr>
        <w:pStyle w:val="ListBullet"/>
        <w:spacing w:before="0" w:after="160" w:line="280" w:lineRule="auto"/>
        <w:ind w:left="720" w:hanging="360"/>
      </w:pPr>
      <w:r>
        <w:rPr>
          <w:rFonts w:ascii="Arial Unicode MS" w:hAnsi="Arial Unicode MS" w:eastAsia="Arial Unicode MS" w:cs="Arial Unicode MS"/>
          <w:b w:val="0"/>
          <w:i w:val="0"/>
        </w:rPr>
        <w:t>返金、値引、補償の承認基準</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クレーム管理規程（ドラフト）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クレーム管理規程（ドラフト）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