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関連当事者取引管理規程（ドラフト）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本規程は、株式会社MoMoにおける関連当事者及び関連当事者取引の把握、承認、管理、開示及び見直しに関する基本事項を定め、取引の公正性、合理性及び透明性を確保することを目的とする。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会社が関連当事者と行う取引、契約、資金移動、債権債務、役務提供、資産売買、保証、貸付、借入その他経済的利益の移転を伴う行為に適用する。</w:t>
      </w:r>
    </w:p>
    <w:p>
      <w:pPr>
        <w:pStyle w:val="Heading2"/>
      </w:pPr>
      <w:r>
        <w:rPr>
          <w:rFonts w:ascii="Arial Unicode MS" w:hAnsi="Arial Unicode MS" w:eastAsia="Arial Unicode MS" w:cs="Arial Unicode MS"/>
          <w:b w:val="0"/>
          <w:i w:val="0"/>
        </w:rPr>
        <w:t>第3条（基本方針）</w:t>
      </w:r>
    </w:p>
    <w:p>
      <w:pPr>
        <w:spacing w:before="0" w:after="120" w:line="264" w:lineRule="auto"/>
      </w:pPr>
      <w:r>
        <w:rPr>
          <w:rFonts w:ascii="Arial Unicode MS" w:hAnsi="Arial Unicode MS" w:eastAsia="Arial Unicode MS" w:cs="Arial Unicode MS"/>
          <w:b w:val="0"/>
          <w:i w:val="0"/>
        </w:rPr>
        <w:t>関連当事者取引は、取引の必要性、合理性、価格その他条件の妥当性を確認し、会社及び株主共同の利益を害しないよう管理する。</w:t>
      </w:r>
    </w:p>
    <w:p>
      <w:pPr>
        <w:pStyle w:val="ListNumber"/>
        <w:spacing w:before="0" w:after="160" w:line="280" w:lineRule="auto"/>
        <w:ind w:left="720" w:hanging="360"/>
      </w:pPr>
      <w:r>
        <w:rPr>
          <w:rFonts w:ascii="Arial Unicode MS" w:hAnsi="Arial Unicode MS" w:eastAsia="Arial Unicode MS" w:cs="Arial Unicode MS"/>
          <w:b w:val="0"/>
          <w:i w:val="0"/>
        </w:rPr>
        <w:t>関連当事者取引は、原則として事前に取締役会の承認を得る。</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関連当事者取引管理の主管部署は、管理部とする。</w:t>
      </w:r>
    </w:p>
    <w:p>
      <w:pPr>
        <w:pStyle w:val="Heading2"/>
      </w:pPr>
      <w:r>
        <w:rPr>
          <w:rFonts w:ascii="Arial Unicode MS" w:hAnsi="Arial Unicode MS" w:eastAsia="Arial Unicode MS" w:cs="Arial Unicode MS"/>
          <w:b w:val="0"/>
          <w:i w:val="0"/>
        </w:rPr>
        <w:t>第5条（管理責任者）</w:t>
      </w:r>
    </w:p>
    <w:p>
      <w:pPr>
        <w:spacing w:before="0" w:after="120" w:line="264" w:lineRule="auto"/>
      </w:pPr>
      <w:r>
        <w:rPr>
          <w:rFonts w:ascii="Arial Unicode MS" w:hAnsi="Arial Unicode MS" w:eastAsia="Arial Unicode MS" w:cs="Arial Unicode MS"/>
          <w:b w:val="0"/>
          <w:i w:val="0"/>
        </w:rPr>
        <w:t>関連当事者取引管理責任者は、代表取締役社長又は代表取締役社長が指名する者とする。</w:t>
      </w:r>
    </w:p>
    <w:p>
      <w:pPr>
        <w:pStyle w:val="Heading2"/>
      </w:pPr>
      <w:r>
        <w:rPr>
          <w:rFonts w:ascii="Arial Unicode MS" w:hAnsi="Arial Unicode MS" w:eastAsia="Arial Unicode MS" w:cs="Arial Unicode MS"/>
          <w:b w:val="0"/>
          <w:i w:val="0"/>
        </w:rPr>
        <w:t>第6条（役職員の責務）</w:t>
      </w:r>
    </w:p>
    <w:p>
      <w:pPr>
        <w:spacing w:before="0" w:after="120" w:line="264" w:lineRule="auto"/>
      </w:pPr>
      <w:r>
        <w:rPr>
          <w:rFonts w:ascii="Arial Unicode MS" w:hAnsi="Arial Unicode MS" w:eastAsia="Arial Unicode MS" w:cs="Arial Unicode MS"/>
          <w:b w:val="0"/>
          <w:i w:val="0"/>
        </w:rPr>
        <w:t>役員及び従業員は、関連当事者に該当する可能性がある者又は関連当事者取引に該当する可能性がある取引を把握した場合、速やかに管理部へ報告する。</w:t>
      </w:r>
    </w:p>
    <w:p>
      <w:pPr>
        <w:pStyle w:val="Heading1"/>
      </w:pPr>
      <w:r>
        <w:rPr>
          <w:rFonts w:ascii="Arial Unicode MS" w:hAnsi="Arial Unicode MS" w:eastAsia="Arial Unicode MS" w:cs="Arial Unicode MS"/>
          <w:b w:val="0"/>
          <w:i w:val="0"/>
        </w:rPr>
        <w:t>第3章 関連当事者の把握</w:t>
      </w:r>
    </w:p>
    <w:p>
      <w:pPr>
        <w:pStyle w:val="Heading2"/>
      </w:pPr>
      <w:r>
        <w:rPr>
          <w:rFonts w:ascii="Arial Unicode MS" w:hAnsi="Arial Unicode MS" w:eastAsia="Arial Unicode MS" w:cs="Arial Unicode MS"/>
          <w:b w:val="0"/>
          <w:i w:val="0"/>
        </w:rPr>
        <w:t>第7条（関連当事者の範囲）</w:t>
      </w:r>
    </w:p>
    <w:p>
      <w:pPr>
        <w:spacing w:before="0" w:after="120" w:line="264" w:lineRule="auto"/>
      </w:pPr>
      <w:r>
        <w:rPr>
          <w:rFonts w:ascii="Arial Unicode MS" w:hAnsi="Arial Unicode MS" w:eastAsia="Arial Unicode MS" w:cs="Arial Unicode MS"/>
          <w:b w:val="0"/>
          <w:i w:val="0"/>
        </w:rPr>
        <w:t>関連当事者の範囲は、法令、会計基準、上場準備上の開示実務その他必要な基準に従い、会社、役員、主要株主、近親者、これらが実質的に支配又は重要な影響を及ぼす会社その他管理部が必要と認める者とする。</w:t>
      </w:r>
    </w:p>
    <w:p>
      <w:pPr>
        <w:pStyle w:val="Heading2"/>
      </w:pPr>
      <w:r>
        <w:rPr>
          <w:rFonts w:ascii="Arial Unicode MS" w:hAnsi="Arial Unicode MS" w:eastAsia="Arial Unicode MS" w:cs="Arial Unicode MS"/>
          <w:b w:val="0"/>
          <w:i w:val="0"/>
        </w:rPr>
        <w:t>第8条（調査票）</w:t>
      </w:r>
    </w:p>
    <w:p>
      <w:pPr>
        <w:spacing w:before="0" w:after="120" w:line="264" w:lineRule="auto"/>
      </w:pPr>
      <w:r>
        <w:rPr>
          <w:rFonts w:ascii="Arial Unicode MS" w:hAnsi="Arial Unicode MS" w:eastAsia="Arial Unicode MS" w:cs="Arial Unicode MS"/>
          <w:b w:val="0"/>
          <w:i w:val="0"/>
        </w:rPr>
        <w:t>管理部は、役員、主要株主その他必要な者に対して、関連当事者調査票の提出を求める。</w:t>
      </w:r>
    </w:p>
    <w:p>
      <w:pPr>
        <w:pStyle w:val="ListNumber"/>
        <w:spacing w:before="0" w:after="160" w:line="280" w:lineRule="auto"/>
        <w:ind w:left="720" w:hanging="360"/>
      </w:pPr>
      <w:r>
        <w:rPr>
          <w:rFonts w:ascii="Arial Unicode MS" w:hAnsi="Arial Unicode MS" w:eastAsia="Arial Unicode MS" w:cs="Arial Unicode MS"/>
          <w:b w:val="0"/>
          <w:i w:val="0"/>
        </w:rPr>
        <w:t>調査票では、兼職、支配会社、親族関係、取引関係、貸借関係、顧問契約、利益相反の可能性その他必要な事項を確認する。</w:t>
      </w:r>
    </w:p>
    <w:p>
      <w:pPr>
        <w:pStyle w:val="Heading2"/>
      </w:pPr>
      <w:r>
        <w:rPr>
          <w:rFonts w:ascii="Arial Unicode MS" w:hAnsi="Arial Unicode MS" w:eastAsia="Arial Unicode MS" w:cs="Arial Unicode MS"/>
          <w:b w:val="0"/>
          <w:i w:val="0"/>
        </w:rPr>
        <w:t>第9条（関連当事者リスト）</w:t>
      </w:r>
    </w:p>
    <w:p>
      <w:pPr>
        <w:spacing w:before="0" w:after="120" w:line="264" w:lineRule="auto"/>
      </w:pPr>
      <w:r>
        <w:rPr>
          <w:rFonts w:ascii="Arial Unicode MS" w:hAnsi="Arial Unicode MS" w:eastAsia="Arial Unicode MS" w:cs="Arial Unicode MS"/>
          <w:b w:val="0"/>
          <w:i w:val="0"/>
        </w:rPr>
        <w:t>管理部は、関連当事者調査票及びその他把握した情報に基づき、関連当事者リストを作成し、少なくとも年1回更新する。</w:t>
      </w:r>
    </w:p>
    <w:p>
      <w:pPr>
        <w:pStyle w:val="Heading1"/>
      </w:pPr>
      <w:r>
        <w:rPr>
          <w:rFonts w:ascii="Arial Unicode MS" w:hAnsi="Arial Unicode MS" w:eastAsia="Arial Unicode MS" w:cs="Arial Unicode MS"/>
          <w:b w:val="0"/>
          <w:i w:val="0"/>
        </w:rPr>
        <w:t>第4章 取引管理</w:t>
      </w:r>
    </w:p>
    <w:p>
      <w:pPr>
        <w:pStyle w:val="Heading2"/>
      </w:pPr>
      <w:r>
        <w:rPr>
          <w:rFonts w:ascii="Arial Unicode MS" w:hAnsi="Arial Unicode MS" w:eastAsia="Arial Unicode MS" w:cs="Arial Unicode MS"/>
          <w:b w:val="0"/>
          <w:i w:val="0"/>
        </w:rPr>
        <w:t>第10条（事前確認）</w:t>
      </w:r>
    </w:p>
    <w:p>
      <w:pPr>
        <w:spacing w:before="0" w:after="120" w:line="264" w:lineRule="auto"/>
      </w:pPr>
      <w:r>
        <w:rPr>
          <w:rFonts w:ascii="Arial Unicode MS" w:hAnsi="Arial Unicode MS" w:eastAsia="Arial Unicode MS" w:cs="Arial Unicode MS"/>
          <w:b w:val="0"/>
          <w:i w:val="0"/>
        </w:rPr>
        <w:t>関連当事者との取引を行う可能性がある場合、担当部門は、取引開始前に管理部へ相談する。</w:t>
      </w:r>
    </w:p>
    <w:p>
      <w:pPr>
        <w:pStyle w:val="Heading2"/>
      </w:pPr>
      <w:r>
        <w:rPr>
          <w:rFonts w:ascii="Arial Unicode MS" w:hAnsi="Arial Unicode MS" w:eastAsia="Arial Unicode MS" w:cs="Arial Unicode MS"/>
          <w:b w:val="0"/>
          <w:i w:val="0"/>
        </w:rPr>
        <w:t>第11条（確認事項）</w:t>
      </w:r>
    </w:p>
    <w:p>
      <w:pPr>
        <w:spacing w:before="0" w:after="120" w:line="264" w:lineRule="auto"/>
      </w:pPr>
      <w:r>
        <w:rPr>
          <w:rFonts w:ascii="Arial Unicode MS" w:hAnsi="Arial Unicode MS" w:eastAsia="Arial Unicode MS" w:cs="Arial Unicode MS"/>
          <w:b w:val="0"/>
          <w:i w:val="0"/>
        </w:rPr>
        <w:t>関連当事者取引の確認では、次の事項を確認する。</w:t>
      </w:r>
    </w:p>
    <w:p>
      <w:pPr>
        <w:pStyle w:val="ListNumber"/>
        <w:spacing w:before="0" w:after="160" w:line="280" w:lineRule="auto"/>
        <w:ind w:left="720" w:hanging="360"/>
      </w:pPr>
      <w:r>
        <w:rPr>
          <w:rFonts w:ascii="Arial Unicode MS" w:hAnsi="Arial Unicode MS" w:eastAsia="Arial Unicode MS" w:cs="Arial Unicode MS"/>
          <w:b w:val="0"/>
          <w:i w:val="0"/>
        </w:rPr>
        <w:t>取引先及び関連当事者該当性</w:t>
      </w:r>
    </w:p>
    <w:p>
      <w:pPr>
        <w:pStyle w:val="ListNumber"/>
        <w:spacing w:before="0" w:after="160" w:line="280" w:lineRule="auto"/>
        <w:ind w:left="720" w:hanging="360"/>
      </w:pPr>
      <w:r>
        <w:rPr>
          <w:rFonts w:ascii="Arial Unicode MS" w:hAnsi="Arial Unicode MS" w:eastAsia="Arial Unicode MS" w:cs="Arial Unicode MS"/>
          <w:b w:val="0"/>
          <w:i w:val="0"/>
        </w:rPr>
        <w:t>取引内容</w:t>
      </w:r>
    </w:p>
    <w:p>
      <w:pPr>
        <w:pStyle w:val="ListNumber"/>
        <w:spacing w:before="0" w:after="160" w:line="280" w:lineRule="auto"/>
        <w:ind w:left="720" w:hanging="360"/>
      </w:pPr>
      <w:r>
        <w:rPr>
          <w:rFonts w:ascii="Arial Unicode MS" w:hAnsi="Arial Unicode MS" w:eastAsia="Arial Unicode MS" w:cs="Arial Unicode MS"/>
          <w:b w:val="0"/>
          <w:i w:val="0"/>
        </w:rPr>
        <w:t>取引金額</w:t>
      </w:r>
    </w:p>
    <w:p>
      <w:pPr>
        <w:pStyle w:val="ListNumber"/>
        <w:spacing w:before="0" w:after="160" w:line="280" w:lineRule="auto"/>
        <w:ind w:left="720" w:hanging="360"/>
      </w:pPr>
      <w:r>
        <w:rPr>
          <w:rFonts w:ascii="Arial Unicode MS" w:hAnsi="Arial Unicode MS" w:eastAsia="Arial Unicode MS" w:cs="Arial Unicode MS"/>
          <w:b w:val="0"/>
          <w:i w:val="0"/>
        </w:rPr>
        <w:t>取引の必要性</w:t>
      </w:r>
    </w:p>
    <w:p>
      <w:pPr>
        <w:pStyle w:val="ListNumber"/>
        <w:spacing w:before="0" w:after="160" w:line="280" w:lineRule="auto"/>
        <w:ind w:left="720" w:hanging="360"/>
      </w:pPr>
      <w:r>
        <w:rPr>
          <w:rFonts w:ascii="Arial Unicode MS" w:hAnsi="Arial Unicode MS" w:eastAsia="Arial Unicode MS" w:cs="Arial Unicode MS"/>
          <w:b w:val="0"/>
          <w:i w:val="0"/>
        </w:rPr>
        <w:t>価格その他条件の妥当性</w:t>
      </w:r>
    </w:p>
    <w:p>
      <w:pPr>
        <w:pStyle w:val="ListNumber"/>
        <w:spacing w:before="0" w:after="160" w:line="280" w:lineRule="auto"/>
        <w:ind w:left="720" w:hanging="360"/>
      </w:pPr>
      <w:r>
        <w:rPr>
          <w:rFonts w:ascii="Arial Unicode MS" w:hAnsi="Arial Unicode MS" w:eastAsia="Arial Unicode MS" w:cs="Arial Unicode MS"/>
          <w:b w:val="0"/>
          <w:i w:val="0"/>
        </w:rPr>
        <w:t>代替取引先の有無</w:t>
      </w:r>
    </w:p>
    <w:p>
      <w:pPr>
        <w:pStyle w:val="ListNumber"/>
        <w:spacing w:before="0" w:after="160" w:line="280" w:lineRule="auto"/>
        <w:ind w:left="720" w:hanging="360"/>
      </w:pPr>
      <w:r>
        <w:rPr>
          <w:rFonts w:ascii="Arial Unicode MS" w:hAnsi="Arial Unicode MS" w:eastAsia="Arial Unicode MS" w:cs="Arial Unicode MS"/>
          <w:b w:val="0"/>
          <w:i w:val="0"/>
        </w:rPr>
        <w:t>会社への利益又は不利益</w:t>
      </w:r>
    </w:p>
    <w:p>
      <w:pPr>
        <w:pStyle w:val="ListNumber"/>
        <w:spacing w:before="0" w:after="160" w:line="280" w:lineRule="auto"/>
        <w:ind w:left="720" w:hanging="360"/>
      </w:pPr>
      <w:r>
        <w:rPr>
          <w:rFonts w:ascii="Arial Unicode MS" w:hAnsi="Arial Unicode MS" w:eastAsia="Arial Unicode MS" w:cs="Arial Unicode MS"/>
          <w:b w:val="0"/>
          <w:i w:val="0"/>
        </w:rPr>
        <w:t>利益相反、競業又は特別利害関係の有無</w:t>
      </w:r>
    </w:p>
    <w:p>
      <w:pPr>
        <w:pStyle w:val="ListNumber"/>
        <w:spacing w:before="0" w:after="160" w:line="280" w:lineRule="auto"/>
        <w:ind w:left="720" w:hanging="360"/>
      </w:pPr>
      <w:r>
        <w:rPr>
          <w:rFonts w:ascii="Arial Unicode MS" w:hAnsi="Arial Unicode MS" w:eastAsia="Arial Unicode MS" w:cs="Arial Unicode MS"/>
          <w:b w:val="0"/>
          <w:i w:val="0"/>
        </w:rPr>
        <w:t>開示又は報告の必要性</w:t>
      </w:r>
    </w:p>
    <w:p>
      <w:pPr>
        <w:pStyle w:val="Heading2"/>
      </w:pPr>
      <w:r>
        <w:rPr>
          <w:rFonts w:ascii="Arial Unicode MS" w:hAnsi="Arial Unicode MS" w:eastAsia="Arial Unicode MS" w:cs="Arial Unicode MS"/>
          <w:b w:val="0"/>
          <w:i w:val="0"/>
        </w:rPr>
        <w:t>第12条（取締役会承認）</w:t>
      </w:r>
    </w:p>
    <w:p>
      <w:pPr>
        <w:spacing w:before="0" w:after="120" w:line="264" w:lineRule="auto"/>
      </w:pPr>
      <w:r>
        <w:rPr>
          <w:rFonts w:ascii="Arial Unicode MS" w:hAnsi="Arial Unicode MS" w:eastAsia="Arial Unicode MS" w:cs="Arial Unicode MS"/>
          <w:b w:val="0"/>
          <w:i w:val="0"/>
        </w:rPr>
        <w:t>関連当事者取引は、原則として取締役会の承認を得る。</w:t>
      </w:r>
    </w:p>
    <w:p>
      <w:pPr>
        <w:pStyle w:val="ListNumber"/>
        <w:spacing w:before="0" w:after="160" w:line="280" w:lineRule="auto"/>
        <w:ind w:left="720" w:hanging="360"/>
      </w:pPr>
      <w:r>
        <w:rPr>
          <w:rFonts w:ascii="Arial Unicode MS" w:hAnsi="Arial Unicode MS" w:eastAsia="Arial Unicode MS" w:cs="Arial Unicode MS"/>
          <w:b w:val="0"/>
          <w:i w:val="0"/>
        </w:rPr>
        <w:t>特別利害関係を有する取締役は、当該取引に関する決議に参加してはならない。</w:t>
      </w:r>
    </w:p>
    <w:p>
      <w:pPr>
        <w:pStyle w:val="Heading2"/>
      </w:pPr>
      <w:r>
        <w:rPr>
          <w:rFonts w:ascii="Arial Unicode MS" w:hAnsi="Arial Unicode MS" w:eastAsia="Arial Unicode MS" w:cs="Arial Unicode MS"/>
          <w:b w:val="0"/>
          <w:i w:val="0"/>
        </w:rPr>
        <w:t>第13条（継続取引）</w:t>
      </w:r>
    </w:p>
    <w:p>
      <w:pPr>
        <w:spacing w:before="0" w:after="120" w:line="264" w:lineRule="auto"/>
      </w:pPr>
      <w:r>
        <w:rPr>
          <w:rFonts w:ascii="Arial Unicode MS" w:hAnsi="Arial Unicode MS" w:eastAsia="Arial Unicode MS" w:cs="Arial Unicode MS"/>
          <w:b w:val="0"/>
          <w:i w:val="0"/>
        </w:rPr>
        <w:t>継続的な関連当事者取引については、少なくとも年1回、取引の必要性、条件の妥当性、継続可否を見直す。</w:t>
      </w:r>
    </w:p>
    <w:p>
      <w:pPr>
        <w:pStyle w:val="Heading1"/>
      </w:pPr>
      <w:r>
        <w:rPr>
          <w:rFonts w:ascii="Arial Unicode MS" w:hAnsi="Arial Unicode MS" w:eastAsia="Arial Unicode MS" w:cs="Arial Unicode MS"/>
          <w:b w:val="0"/>
          <w:i w:val="0"/>
        </w:rPr>
        <w:t>第5章 禁止事項及び解消</w:t>
      </w:r>
    </w:p>
    <w:p>
      <w:pPr>
        <w:pStyle w:val="Heading2"/>
      </w:pPr>
      <w:r>
        <w:rPr>
          <w:rFonts w:ascii="Arial Unicode MS" w:hAnsi="Arial Unicode MS" w:eastAsia="Arial Unicode MS" w:cs="Arial Unicode MS"/>
          <w:b w:val="0"/>
          <w:i w:val="0"/>
        </w:rPr>
        <w:t>第14条（禁止事項）</w:t>
      </w:r>
    </w:p>
    <w:p>
      <w:pPr>
        <w:spacing w:before="0" w:after="120" w:line="264" w:lineRule="auto"/>
      </w:pPr>
      <w:r>
        <w:rPr>
          <w:rFonts w:ascii="Arial Unicode MS" w:hAnsi="Arial Unicode MS" w:eastAsia="Arial Unicode MS" w:cs="Arial Unicode MS"/>
          <w:b w:val="0"/>
          <w:i w:val="0"/>
        </w:rPr>
        <w:t>会社に不利益を与える取引、合理性のない取引、価格その他条件が不公正な取引、必要性を説明できない取引は行ってはならない。</w:t>
      </w:r>
    </w:p>
    <w:p>
      <w:pPr>
        <w:pStyle w:val="Heading2"/>
      </w:pPr>
      <w:r>
        <w:rPr>
          <w:rFonts w:ascii="Arial Unicode MS" w:hAnsi="Arial Unicode MS" w:eastAsia="Arial Unicode MS" w:cs="Arial Unicode MS"/>
          <w:b w:val="0"/>
          <w:i w:val="0"/>
        </w:rPr>
        <w:t>第15条（解消）</w:t>
      </w:r>
    </w:p>
    <w:p>
      <w:pPr>
        <w:spacing w:before="0" w:after="120" w:line="264" w:lineRule="auto"/>
      </w:pPr>
      <w:r>
        <w:rPr>
          <w:rFonts w:ascii="Arial Unicode MS" w:hAnsi="Arial Unicode MS" w:eastAsia="Arial Unicode MS" w:cs="Arial Unicode MS"/>
          <w:b w:val="0"/>
          <w:i w:val="0"/>
        </w:rPr>
        <w:t>必要性又は合理性を説明できない関連当事者取引は、可能な限り速やかに解消する。</w:t>
      </w:r>
    </w:p>
    <w:p>
      <w:pPr>
        <w:pStyle w:val="Heading1"/>
      </w:pPr>
      <w:r>
        <w:rPr>
          <w:rFonts w:ascii="Arial Unicode MS" w:hAnsi="Arial Unicode MS" w:eastAsia="Arial Unicode MS" w:cs="Arial Unicode MS"/>
          <w:b w:val="0"/>
          <w:i w:val="0"/>
        </w:rPr>
        <w:t>第6章 記録及び報告</w:t>
      </w:r>
    </w:p>
    <w:p>
      <w:pPr>
        <w:pStyle w:val="Heading2"/>
      </w:pPr>
      <w:r>
        <w:rPr>
          <w:rFonts w:ascii="Arial Unicode MS" w:hAnsi="Arial Unicode MS" w:eastAsia="Arial Unicode MS" w:cs="Arial Unicode MS"/>
          <w:b w:val="0"/>
          <w:i w:val="0"/>
        </w:rPr>
        <w:t>第16条（記録）</w:t>
      </w:r>
    </w:p>
    <w:p>
      <w:pPr>
        <w:spacing w:before="0" w:after="120" w:line="264" w:lineRule="auto"/>
      </w:pPr>
      <w:r>
        <w:rPr>
          <w:rFonts w:ascii="Arial Unicode MS" w:hAnsi="Arial Unicode MS" w:eastAsia="Arial Unicode MS" w:cs="Arial Unicode MS"/>
          <w:b w:val="0"/>
          <w:i w:val="0"/>
        </w:rPr>
        <w:t>管理部は、関連当事者リスト、調査票、取引確認資料、取締役会議事録、契約書、価格妥当性資料その他関連当事者取引に関する資料を保存管理する。</w:t>
      </w:r>
    </w:p>
    <w:p>
      <w:pPr>
        <w:pStyle w:val="Heading2"/>
      </w:pPr>
      <w:r>
        <w:rPr>
          <w:rFonts w:ascii="Arial Unicode MS" w:hAnsi="Arial Unicode MS" w:eastAsia="Arial Unicode MS" w:cs="Arial Unicode MS"/>
          <w:b w:val="0"/>
          <w:i w:val="0"/>
        </w:rPr>
        <w:t>第17条（報告）</w:t>
      </w:r>
    </w:p>
    <w:p>
      <w:pPr>
        <w:spacing w:before="0" w:after="120" w:line="264" w:lineRule="auto"/>
      </w:pPr>
      <w:r>
        <w:rPr>
          <w:rFonts w:ascii="Arial Unicode MS" w:hAnsi="Arial Unicode MS" w:eastAsia="Arial Unicode MS" w:cs="Arial Unicode MS"/>
          <w:b w:val="0"/>
          <w:i w:val="0"/>
        </w:rPr>
        <w:t>管理部は、関連当事者の状況、関連当事者取引の有無、承認状況、継続取引の見直し結果を、必要に応じて経営会議及び取締役会に報告する。</w:t>
      </w:r>
    </w:p>
    <w:p>
      <w:pPr>
        <w:pStyle w:val="Heading1"/>
      </w:pPr>
      <w:r>
        <w:rPr>
          <w:rFonts w:ascii="Arial Unicode MS" w:hAnsi="Arial Unicode MS" w:eastAsia="Arial Unicode MS" w:cs="Arial Unicode MS"/>
          <w:b w:val="0"/>
          <w:i w:val="0"/>
        </w:rPr>
        <w:t>第7章 改廃</w:t>
      </w:r>
    </w:p>
    <w:p>
      <w:pPr>
        <w:pStyle w:val="Heading2"/>
      </w:pPr>
      <w:r>
        <w:rPr>
          <w:rFonts w:ascii="Arial Unicode MS" w:hAnsi="Arial Unicode MS" w:eastAsia="Arial Unicode MS" w:cs="Arial Unicode MS"/>
          <w:b w:val="0"/>
          <w:i w:val="0"/>
        </w:rPr>
        <w:t>第18条（改廃）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関連当事者管理規程の既存版の有無</w:t>
      </w:r>
    </w:p>
    <w:p>
      <w:pPr>
        <w:pStyle w:val="ListBullet"/>
        <w:spacing w:before="0" w:after="160" w:line="280" w:lineRule="auto"/>
        <w:ind w:left="720" w:hanging="360"/>
      </w:pPr>
      <w:r>
        <w:rPr>
          <w:rFonts w:ascii="Arial Unicode MS" w:hAnsi="Arial Unicode MS" w:eastAsia="Arial Unicode MS" w:cs="Arial Unicode MS"/>
          <w:b w:val="0"/>
          <w:i w:val="0"/>
        </w:rPr>
        <w:t>関連当事者調査票の様式</w:t>
      </w:r>
    </w:p>
    <w:p>
      <w:pPr>
        <w:pStyle w:val="ListBullet"/>
        <w:spacing w:before="0" w:after="160" w:line="280" w:lineRule="auto"/>
        <w:ind w:left="720" w:hanging="360"/>
      </w:pPr>
      <w:r>
        <w:rPr>
          <w:rFonts w:ascii="Arial Unicode MS" w:hAnsi="Arial Unicode MS" w:eastAsia="Arial Unicode MS" w:cs="Arial Unicode MS"/>
          <w:b w:val="0"/>
          <w:i w:val="0"/>
        </w:rPr>
        <w:t>関連当事者リストの管理方法</w:t>
      </w:r>
    </w:p>
    <w:p>
      <w:pPr>
        <w:pStyle w:val="ListBullet"/>
        <w:spacing w:before="0" w:after="160" w:line="280" w:lineRule="auto"/>
        <w:ind w:left="720" w:hanging="360"/>
      </w:pPr>
      <w:r>
        <w:rPr>
          <w:rFonts w:ascii="Arial Unicode MS" w:hAnsi="Arial Unicode MS" w:eastAsia="Arial Unicode MS" w:cs="Arial Unicode MS"/>
          <w:b w:val="0"/>
          <w:i w:val="0"/>
        </w:rPr>
        <w:t>役員、主要株主、近親者の範囲</w:t>
      </w:r>
    </w:p>
    <w:p>
      <w:pPr>
        <w:pStyle w:val="ListBullet"/>
        <w:spacing w:before="0" w:after="160" w:line="280" w:lineRule="auto"/>
        <w:ind w:left="720" w:hanging="360"/>
      </w:pPr>
      <w:r>
        <w:rPr>
          <w:rFonts w:ascii="Arial Unicode MS" w:hAnsi="Arial Unicode MS" w:eastAsia="Arial Unicode MS" w:cs="Arial Unicode MS"/>
          <w:b w:val="0"/>
          <w:i w:val="0"/>
        </w:rPr>
        <w:t>顧問、兼職、役員支配会社の有無</w:t>
      </w:r>
    </w:p>
    <w:p>
      <w:pPr>
        <w:pStyle w:val="ListBullet"/>
        <w:spacing w:before="0" w:after="160" w:line="280" w:lineRule="auto"/>
        <w:ind w:left="720" w:hanging="360"/>
      </w:pPr>
      <w:r>
        <w:rPr>
          <w:rFonts w:ascii="Arial Unicode MS" w:hAnsi="Arial Unicode MS" w:eastAsia="Arial Unicode MS" w:cs="Arial Unicode MS"/>
          <w:b w:val="0"/>
          <w:i w:val="0"/>
        </w:rPr>
        <w:t>既存の関連当事者取引の有無</w:t>
      </w:r>
    </w:p>
    <w:p>
      <w:pPr>
        <w:pStyle w:val="ListBullet"/>
        <w:spacing w:before="0" w:after="160" w:line="280" w:lineRule="auto"/>
        <w:ind w:left="720" w:hanging="360"/>
      </w:pPr>
      <w:r>
        <w:rPr>
          <w:rFonts w:ascii="Arial Unicode MS" w:hAnsi="Arial Unicode MS" w:eastAsia="Arial Unicode MS" w:cs="Arial Unicode MS"/>
          <w:b w:val="0"/>
          <w:i w:val="0"/>
        </w:rPr>
        <w:t>取締役会承認フロー</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関連当事者管理規程はあるが、該当する関連当事者や取引の有無は把握されていない。</w:t>
      </w:r>
    </w:p>
    <w:p>
      <w:pPr>
        <w:pStyle w:val="ListBullet"/>
        <w:spacing w:before="0" w:after="160" w:line="280" w:lineRule="auto"/>
        <w:ind w:left="720" w:hanging="360"/>
      </w:pPr>
      <w:r>
        <w:rPr>
          <w:rFonts w:ascii="Arial Unicode MS" w:hAnsi="Arial Unicode MS" w:eastAsia="Arial Unicode MS" w:cs="Arial Unicode MS"/>
          <w:b w:val="0"/>
          <w:i w:val="0"/>
        </w:rPr>
        <w:t>調査票及びリストは未作成。</w:t>
      </w:r>
    </w:p>
    <w:p>
      <w:pPr>
        <w:pStyle w:val="ListBullet"/>
        <w:spacing w:before="0" w:after="160" w:line="280" w:lineRule="auto"/>
        <w:ind w:left="720" w:hanging="360"/>
      </w:pPr>
      <w:r>
        <w:rPr>
          <w:rFonts w:ascii="Arial Unicode MS" w:hAnsi="Arial Unicode MS" w:eastAsia="Arial Unicode MS" w:cs="Arial Unicode MS"/>
          <w:b w:val="0"/>
          <w:i w:val="0"/>
        </w:rPr>
        <w:t>上場準備上、毎期の調査・更新・取締役会承認・開示検討が必要。</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関連当事者取引管理規程（ドラフト）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関連当事者取引管理規程（ドラフト）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