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購買管理規程（ドラフト）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本規程は、株式会社MoMo（以下「当社」という。）の購買業務に関する基準を定め、購買活動の適正性、経済性、透明性及び経営効率の向上に資することを目的とする。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で定める購買業務とは、当社の経営活動において必要とする物品、備品、消耗品、ソフトウェア、クラウドサービス、システム、業務用サービスその他会社が必要と認めるものの購入又は利用契約をいう。</w:t>
      </w:r>
    </w:p>
    <w:p>
      <w:pPr>
        <w:pStyle w:val="ListNumber"/>
        <w:spacing w:before="0" w:after="160" w:line="280" w:lineRule="auto"/>
        <w:ind w:left="720" w:hanging="360"/>
      </w:pPr>
      <w:r>
        <w:rPr>
          <w:rFonts w:ascii="Arial Unicode MS" w:hAnsi="Arial Unicode MS" w:eastAsia="Arial Unicode MS" w:cs="Arial Unicode MS"/>
          <w:b w:val="0"/>
          <w:i w:val="0"/>
        </w:rPr>
        <w:t>外注業務又は業務委託の発注については、本規程のほか、外注管理規程に従う。</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本規程に定めのない購買業務に関する事項は、職務権限規程、稟議規程、経理規程、資金管理規程、与信管理規程、反社会的勢力対応規程その他関連規程に従う。</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購買取引は、必要性、価格の妥当性、品質、納期、取引先の信頼性、契約条件、情報管理上のリスク及び予算との関係を確認したうえで実施する。</w:t>
      </w:r>
    </w:p>
    <w:p>
      <w:pPr>
        <w:pStyle w:val="ListNumber"/>
        <w:spacing w:before="0" w:after="160" w:line="280" w:lineRule="auto"/>
        <w:ind w:left="720" w:hanging="360"/>
      </w:pPr>
      <w:r>
        <w:rPr>
          <w:rFonts w:ascii="Arial Unicode MS" w:hAnsi="Arial Unicode MS" w:eastAsia="Arial Unicode MS" w:cs="Arial Unicode MS"/>
          <w:b w:val="0"/>
          <w:i w:val="0"/>
        </w:rPr>
        <w:t>購買取引は、事前申請及び事前承認を原則とする。</w:t>
      </w:r>
    </w:p>
    <w:p>
      <w:pPr>
        <w:pStyle w:val="ListNumber"/>
        <w:spacing w:before="0" w:after="160" w:line="280" w:lineRule="auto"/>
        <w:ind w:left="720" w:hanging="360"/>
      </w:pPr>
      <w:r>
        <w:rPr>
          <w:rFonts w:ascii="Arial Unicode MS" w:hAnsi="Arial Unicode MS" w:eastAsia="Arial Unicode MS" w:cs="Arial Unicode MS"/>
          <w:b w:val="0"/>
          <w:i w:val="0"/>
        </w:rPr>
        <w:t>購買に関する証憑、承認履歴、契約書、発注記録、検収記録及び支払記録は、事後確認ができるよう保存する。</w:t>
      </w:r>
    </w:p>
    <w:p>
      <w:pPr>
        <w:pStyle w:val="Heading1"/>
      </w:pPr>
      <w:r>
        <w:rPr>
          <w:rFonts w:ascii="Arial Unicode MS" w:hAnsi="Arial Unicode MS" w:eastAsia="Arial Unicode MS" w:cs="Arial Unicode MS"/>
          <w:b w:val="0"/>
          <w:i w:val="0"/>
        </w:rPr>
        <w:t>第2章　購買先の選定手順</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購買管理の主管部署は、管理部とする。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購買を行う部門は、購買の必要性、仕様、金額、納期、取引先、検収結果及び予算との関係を管理部へ報告又は共有する。</w:t>
      </w:r>
    </w:p>
    <w:p>
      <w:pPr>
        <w:pStyle w:val="Heading2"/>
      </w:pPr>
      <w:r>
        <w:rPr>
          <w:rFonts w:ascii="Arial Unicode MS" w:hAnsi="Arial Unicode MS" w:eastAsia="Arial Unicode MS" w:cs="Arial Unicode MS"/>
          <w:b w:val="0"/>
          <w:i w:val="0"/>
        </w:rPr>
        <w:t>第5条（購買先の選定）</w:t>
      </w:r>
    </w:p>
    <w:p>
      <w:pPr>
        <w:spacing w:before="0" w:after="120" w:line="264" w:lineRule="auto"/>
      </w:pPr>
      <w:r>
        <w:rPr>
          <w:rFonts w:ascii="Arial Unicode MS" w:hAnsi="Arial Unicode MS" w:eastAsia="Arial Unicode MS" w:cs="Arial Unicode MS"/>
          <w:b w:val="0"/>
          <w:i w:val="0"/>
        </w:rPr>
        <w:t>新規購買先の選定においては、次の基準を考慮し、契約締結又は購買の実施にあたっては、職務権限規程及び稟議規程に従い、必要な承認を得る。</w:t>
      </w:r>
    </w:p>
    <w:p>
      <w:pPr>
        <w:pStyle w:val="ListNumber"/>
        <w:spacing w:before="0" w:after="160" w:line="280" w:lineRule="auto"/>
        <w:ind w:left="720" w:hanging="360"/>
      </w:pPr>
      <w:r>
        <w:rPr>
          <w:rFonts w:ascii="Arial Unicode MS" w:hAnsi="Arial Unicode MS" w:eastAsia="Arial Unicode MS" w:cs="Arial Unicode MS"/>
          <w:b w:val="0"/>
          <w:i w:val="0"/>
        </w:rPr>
        <w:t>当社の経営方針及び業務目的を理解し、協力関係が保てること</w:t>
      </w:r>
    </w:p>
    <w:p>
      <w:pPr>
        <w:pStyle w:val="ListNumber"/>
        <w:spacing w:before="0" w:after="160" w:line="280" w:lineRule="auto"/>
        <w:ind w:left="720" w:hanging="360"/>
      </w:pPr>
      <w:r>
        <w:rPr>
          <w:rFonts w:ascii="Arial Unicode MS" w:hAnsi="Arial Unicode MS" w:eastAsia="Arial Unicode MS" w:cs="Arial Unicode MS"/>
          <w:b w:val="0"/>
          <w:i w:val="0"/>
        </w:rPr>
        <w:t>経営基盤、事業内容又は提供サービスが安定し、社会的信用があること</w:t>
      </w:r>
    </w:p>
    <w:p>
      <w:pPr>
        <w:pStyle w:val="ListNumber"/>
        <w:spacing w:before="0" w:after="160" w:line="280" w:lineRule="auto"/>
        <w:ind w:left="720" w:hanging="360"/>
      </w:pPr>
      <w:r>
        <w:rPr>
          <w:rFonts w:ascii="Arial Unicode MS" w:hAnsi="Arial Unicode MS" w:eastAsia="Arial Unicode MS" w:cs="Arial Unicode MS"/>
          <w:b w:val="0"/>
          <w:i w:val="0"/>
        </w:rPr>
        <w:t>品質、納期、価格、サポート、セキュリティその他条件が当社の要求水準に達していること</w:t>
      </w:r>
    </w:p>
    <w:p>
      <w:pPr>
        <w:pStyle w:val="ListNumber"/>
        <w:spacing w:before="0" w:after="160" w:line="280" w:lineRule="auto"/>
        <w:ind w:left="720" w:hanging="360"/>
      </w:pPr>
      <w:r>
        <w:rPr>
          <w:rFonts w:ascii="Arial Unicode MS" w:hAnsi="Arial Unicode MS" w:eastAsia="Arial Unicode MS" w:cs="Arial Unicode MS"/>
          <w:b w:val="0"/>
          <w:i w:val="0"/>
        </w:rPr>
        <w:t>個人情報、機密情報、顧客情報その他重要情報を取り扱う場合、適切な管理体制を有すること</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反社会的勢力との関係がないこと</w:t>
      </w:r>
    </w:p>
    <w:p>
      <w:pPr>
        <w:pStyle w:val="Heading2"/>
      </w:pPr>
      <w:r>
        <w:rPr>
          <w:rFonts w:ascii="Arial Unicode MS" w:hAnsi="Arial Unicode MS" w:eastAsia="Arial Unicode MS" w:cs="Arial Unicode MS"/>
          <w:b w:val="0"/>
          <w:i w:val="0"/>
        </w:rPr>
        <w:t>第6条（購買先情報の管理）</w:t>
      </w:r>
    </w:p>
    <w:p>
      <w:pPr>
        <w:spacing w:before="0" w:after="120" w:line="264" w:lineRule="auto"/>
      </w:pPr>
      <w:r>
        <w:rPr>
          <w:rFonts w:ascii="Arial Unicode MS" w:hAnsi="Arial Unicode MS" w:eastAsia="Arial Unicode MS" w:cs="Arial Unicode MS"/>
          <w:b w:val="0"/>
          <w:i w:val="0"/>
        </w:rPr>
        <w:t>購買先情報は、原則としてNotionで管理する。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購買先情報には、会社名、担当者、連絡先、取引内容、契約状況、支払条件、反社チェック状況、情報管理上の注意事項その他必要な情報を記録する。</w:t>
      </w:r>
    </w:p>
    <w:p>
      <w:pPr>
        <w:pStyle w:val="Heading2"/>
      </w:pPr>
      <w:r>
        <w:rPr>
          <w:rFonts w:ascii="Arial Unicode MS" w:hAnsi="Arial Unicode MS" w:eastAsia="Arial Unicode MS" w:cs="Arial Unicode MS"/>
          <w:b w:val="0"/>
          <w:i w:val="0"/>
        </w:rPr>
        <w:t>第7条（基本契約）</w:t>
      </w:r>
    </w:p>
    <w:p>
      <w:pPr>
        <w:spacing w:before="0" w:after="120" w:line="264" w:lineRule="auto"/>
      </w:pPr>
      <w:r>
        <w:rPr>
          <w:rFonts w:ascii="Arial Unicode MS" w:hAnsi="Arial Unicode MS" w:eastAsia="Arial Unicode MS" w:cs="Arial Unicode MS"/>
          <w:b w:val="0"/>
          <w:i w:val="0"/>
        </w:rPr>
        <w:t>継続的な取引が見込まれる場合又は重要な購買を行う場合は、取引の基本的条件を示した基本契約書、利用契約、注文書、申込書その他取引条件を確認できる書面又は電子記録を作成又は保存する。</w:t>
      </w:r>
    </w:p>
    <w:p>
      <w:pPr>
        <w:pStyle w:val="ListNumber"/>
        <w:spacing w:before="0" w:after="160" w:line="280" w:lineRule="auto"/>
        <w:ind w:left="720" w:hanging="360"/>
      </w:pPr>
      <w:r>
        <w:rPr>
          <w:rFonts w:ascii="Arial Unicode MS" w:hAnsi="Arial Unicode MS" w:eastAsia="Arial Unicode MS" w:cs="Arial Unicode MS"/>
          <w:b w:val="0"/>
          <w:i w:val="0"/>
        </w:rPr>
        <w:t>契約書は、原則としてマネーフォワード、電子契約サービス、Notion、Google Driveその他会社が指定する方法により管理する。</w:t>
      </w:r>
    </w:p>
    <w:p>
      <w:pPr>
        <w:pStyle w:val="Heading2"/>
      </w:pPr>
      <w:r>
        <w:rPr>
          <w:rFonts w:ascii="Arial Unicode MS" w:hAnsi="Arial Unicode MS" w:eastAsia="Arial Unicode MS" w:cs="Arial Unicode MS"/>
          <w:b w:val="0"/>
          <w:i w:val="0"/>
        </w:rPr>
        <w:t>第8条（相見積の取得）</w:t>
      </w:r>
    </w:p>
    <w:p>
      <w:pPr>
        <w:spacing w:before="0" w:after="120" w:line="264" w:lineRule="auto"/>
      </w:pPr>
      <w:r>
        <w:rPr>
          <w:rFonts w:ascii="Arial Unicode MS" w:hAnsi="Arial Unicode MS" w:eastAsia="Arial Unicode MS" w:cs="Arial Unicode MS"/>
          <w:b w:val="0"/>
          <w:i w:val="0"/>
        </w:rPr>
        <w:t>購買にあたっては、担当部門は、原則として複数の見積先より見積書を取得し、適正な価格での購買に努める。</w:t>
      </w:r>
    </w:p>
    <w:p>
      <w:pPr>
        <w:pStyle w:val="ListNumber"/>
        <w:spacing w:before="0" w:after="160" w:line="280" w:lineRule="auto"/>
        <w:ind w:left="720" w:hanging="360"/>
      </w:pPr>
      <w:r>
        <w:rPr>
          <w:rFonts w:ascii="Arial Unicode MS" w:hAnsi="Arial Unicode MS" w:eastAsia="Arial Unicode MS" w:cs="Arial Unicode MS"/>
          <w:b w:val="0"/>
          <w:i w:val="0"/>
        </w:rPr>
        <w:t>次の各号に該当する場合は、相見積の取得を省略することができる。</w:t>
      </w:r>
    </w:p>
    <w:p>
      <w:pPr>
        <w:pStyle w:val="ListNumber"/>
        <w:spacing w:before="0" w:after="160" w:line="280" w:lineRule="auto"/>
        <w:ind w:left="720" w:hanging="360"/>
      </w:pPr>
      <w:r>
        <w:rPr>
          <w:rFonts w:ascii="Arial Unicode MS" w:hAnsi="Arial Unicode MS" w:eastAsia="Arial Unicode MS" w:cs="Arial Unicode MS"/>
          <w:b w:val="0"/>
          <w:i w:val="0"/>
        </w:rPr>
        <w:t>長期間の取引実績があり、品質、技術、互換性又は運用上の理由により価格のみの比較が合理的でない場合</w:t>
      </w:r>
    </w:p>
    <w:p>
      <w:pPr>
        <w:pStyle w:val="ListNumber"/>
        <w:spacing w:before="0" w:after="160" w:line="280" w:lineRule="auto"/>
        <w:ind w:left="720" w:hanging="360"/>
      </w:pPr>
      <w:r>
        <w:rPr>
          <w:rFonts w:ascii="Arial Unicode MS" w:hAnsi="Arial Unicode MS" w:eastAsia="Arial Unicode MS" w:cs="Arial Unicode MS"/>
          <w:b w:val="0"/>
          <w:i w:val="0"/>
        </w:rPr>
        <w:t>専門性、技術、ライセンス、既存システムとの連携その他事情により競争見積が困難な場合</w:t>
      </w:r>
    </w:p>
    <w:p>
      <w:pPr>
        <w:pStyle w:val="ListNumber"/>
        <w:spacing w:before="0" w:after="160" w:line="280" w:lineRule="auto"/>
        <w:ind w:left="720" w:hanging="360"/>
      </w:pPr>
      <w:r>
        <w:rPr>
          <w:rFonts w:ascii="Arial Unicode MS" w:hAnsi="Arial Unicode MS" w:eastAsia="Arial Unicode MS" w:cs="Arial Unicode MS"/>
          <w:b w:val="0"/>
          <w:i w:val="0"/>
        </w:rPr>
        <w:t>緊急を要する購買が発生した場合</w:t>
      </w:r>
    </w:p>
    <w:p>
      <w:pPr>
        <w:pStyle w:val="ListNumber"/>
        <w:spacing w:before="0" w:after="160" w:line="280" w:lineRule="auto"/>
        <w:ind w:left="720" w:hanging="360"/>
      </w:pPr>
      <w:r>
        <w:rPr>
          <w:rFonts w:ascii="Arial Unicode MS" w:hAnsi="Arial Unicode MS" w:eastAsia="Arial Unicode MS" w:cs="Arial Unicode MS"/>
          <w:b w:val="0"/>
          <w:i w:val="0"/>
        </w:rPr>
        <w:t>少額又は定型的な購買であり、相見積の取得に要する負担が購買金額に比して過大である場合</w:t>
      </w:r>
    </w:p>
    <w:p>
      <w:pPr>
        <w:pStyle w:val="ListNumber"/>
        <w:spacing w:before="0" w:after="160" w:line="280" w:lineRule="auto"/>
        <w:ind w:left="720" w:hanging="360"/>
      </w:pPr>
      <w:r>
        <w:rPr>
          <w:rFonts w:ascii="Arial Unicode MS" w:hAnsi="Arial Unicode MS" w:eastAsia="Arial Unicode MS" w:cs="Arial Unicode MS"/>
          <w:b w:val="0"/>
          <w:i w:val="0"/>
        </w:rPr>
        <w:t>その他管理部又は承認者が合理的と認める場合</w:t>
      </w:r>
    </w:p>
    <w:p>
      <w:pPr>
        <w:pStyle w:val="ListNumber"/>
        <w:spacing w:before="0" w:after="160" w:line="280" w:lineRule="auto"/>
        <w:ind w:left="720" w:hanging="360"/>
      </w:pPr>
      <w:r>
        <w:rPr>
          <w:rFonts w:ascii="Arial Unicode MS" w:hAnsi="Arial Unicode MS" w:eastAsia="Arial Unicode MS" w:cs="Arial Unicode MS"/>
          <w:b w:val="0"/>
          <w:i w:val="0"/>
        </w:rPr>
        <w:t>相見積を取得しない場合、担当部門は、その理由を記録する。</w:t>
      </w:r>
    </w:p>
    <w:p>
      <w:pPr>
        <w:pStyle w:val="Heading2"/>
      </w:pPr>
      <w:r>
        <w:rPr>
          <w:rFonts w:ascii="Arial Unicode MS" w:hAnsi="Arial Unicode MS" w:eastAsia="Arial Unicode MS" w:cs="Arial Unicode MS"/>
          <w:b w:val="0"/>
          <w:i w:val="0"/>
        </w:rPr>
        <w:t>第9条（取引先の信用調査及び反社確認）</w:t>
      </w:r>
    </w:p>
    <w:p>
      <w:pPr>
        <w:spacing w:before="0" w:after="120" w:line="264" w:lineRule="auto"/>
      </w:pPr>
      <w:r>
        <w:rPr>
          <w:rFonts w:ascii="Arial Unicode MS" w:hAnsi="Arial Unicode MS" w:eastAsia="Arial Unicode MS" w:cs="Arial Unicode MS"/>
          <w:b w:val="0"/>
          <w:i w:val="0"/>
        </w:rPr>
        <w:t>新規に購買先と取引を開始する場合、担当部門及び管理部は、与信管理規程、反社会的勢力対応規程その他関連規程に従い、取引先の実在性、信用状況及び反社会的勢力との関係がないことを確認する。</w:t>
      </w:r>
    </w:p>
    <w:p>
      <w:pPr>
        <w:pStyle w:val="ListNumber"/>
        <w:spacing w:before="0" w:after="160" w:line="280" w:lineRule="auto"/>
        <w:ind w:left="720" w:hanging="360"/>
      </w:pPr>
      <w:r>
        <w:rPr>
          <w:rFonts w:ascii="Arial Unicode MS" w:hAnsi="Arial Unicode MS" w:eastAsia="Arial Unicode MS" w:cs="Arial Unicode MS"/>
          <w:b w:val="0"/>
          <w:i w:val="0"/>
        </w:rPr>
        <w:t>現時点では反社チェックの実査が未整備であるため、新規購買先、重要購買先及び継続購買先から段階的に確認手続を導入する。</w:t>
      </w:r>
    </w:p>
    <w:p>
      <w:pPr>
        <w:pStyle w:val="Heading1"/>
      </w:pPr>
      <w:r>
        <w:rPr>
          <w:rFonts w:ascii="Arial Unicode MS" w:hAnsi="Arial Unicode MS" w:eastAsia="Arial Unicode MS" w:cs="Arial Unicode MS"/>
          <w:b w:val="0"/>
          <w:i w:val="0"/>
        </w:rPr>
        <w:t>第3章　購買手続</w:t>
      </w:r>
    </w:p>
    <w:p>
      <w:pPr>
        <w:pStyle w:val="Heading2"/>
      </w:pPr>
      <w:r>
        <w:rPr>
          <w:rFonts w:ascii="Arial Unicode MS" w:hAnsi="Arial Unicode MS" w:eastAsia="Arial Unicode MS" w:cs="Arial Unicode MS"/>
          <w:b w:val="0"/>
          <w:i w:val="0"/>
        </w:rPr>
        <w:t>第10条（購買申請）</w:t>
      </w:r>
    </w:p>
    <w:p>
      <w:pPr>
        <w:spacing w:before="0" w:after="120" w:line="264" w:lineRule="auto"/>
      </w:pPr>
      <w:r>
        <w:rPr>
          <w:rFonts w:ascii="Arial Unicode MS" w:hAnsi="Arial Unicode MS" w:eastAsia="Arial Unicode MS" w:cs="Arial Unicode MS"/>
          <w:b w:val="0"/>
          <w:i w:val="0"/>
        </w:rPr>
        <w:t>購買を行う場合、担当部門は、購買目的、品目又はサービス内容、金額、取引先、納期、支払条件、予算との関係及び選定理由を明確にする。</w:t>
      </w:r>
    </w:p>
    <w:p>
      <w:pPr>
        <w:pStyle w:val="ListNumber"/>
        <w:spacing w:before="0" w:after="160" w:line="280" w:lineRule="auto"/>
        <w:ind w:left="720" w:hanging="360"/>
      </w:pPr>
      <w:r>
        <w:rPr>
          <w:rFonts w:ascii="Arial Unicode MS" w:hAnsi="Arial Unicode MS" w:eastAsia="Arial Unicode MS" w:cs="Arial Unicode MS"/>
          <w:b w:val="0"/>
          <w:i w:val="0"/>
        </w:rPr>
        <w:t>10万円以上の購買、予算外購買、継続契約、重要なシステム又は設備に関する購買、個人情報又は機密情報を取り扱う購買は、稟議規程に基づき事前承認を得る。</w:t>
      </w:r>
    </w:p>
    <w:p>
      <w:pPr>
        <w:pStyle w:val="ListNumber"/>
        <w:spacing w:before="0" w:after="160" w:line="280" w:lineRule="auto"/>
        <w:ind w:left="720" w:hanging="360"/>
      </w:pPr>
      <w:r>
        <w:rPr>
          <w:rFonts w:ascii="Arial Unicode MS" w:hAnsi="Arial Unicode MS" w:eastAsia="Arial Unicode MS" w:cs="Arial Unicode MS"/>
          <w:b w:val="0"/>
          <w:i w:val="0"/>
        </w:rPr>
        <w:t>10万円未満の通常購買であっても、重要性又はリスクがある場合は事前承認を得る。</w:t>
      </w:r>
    </w:p>
    <w:p>
      <w:pPr>
        <w:pStyle w:val="Heading2"/>
      </w:pPr>
      <w:r>
        <w:rPr>
          <w:rFonts w:ascii="Arial Unicode MS" w:hAnsi="Arial Unicode MS" w:eastAsia="Arial Unicode MS" w:cs="Arial Unicode MS"/>
          <w:b w:val="0"/>
          <w:i w:val="0"/>
        </w:rPr>
        <w:t>第11条（発注）</w:t>
      </w:r>
    </w:p>
    <w:p>
      <w:pPr>
        <w:spacing w:before="0" w:after="120" w:line="264" w:lineRule="auto"/>
      </w:pPr>
      <w:r>
        <w:rPr>
          <w:rFonts w:ascii="Arial Unicode MS" w:hAnsi="Arial Unicode MS" w:eastAsia="Arial Unicode MS" w:cs="Arial Unicode MS"/>
          <w:b w:val="0"/>
          <w:i w:val="0"/>
        </w:rPr>
        <w:t>発注は、承認済みの申請、契約、見積その他必要な根拠に基づき行う。</w:t>
      </w:r>
    </w:p>
    <w:p>
      <w:pPr>
        <w:pStyle w:val="ListNumber"/>
        <w:spacing w:before="0" w:after="160" w:line="280" w:lineRule="auto"/>
        <w:ind w:left="720" w:hanging="360"/>
      </w:pPr>
      <w:r>
        <w:rPr>
          <w:rFonts w:ascii="Arial Unicode MS" w:hAnsi="Arial Unicode MS" w:eastAsia="Arial Unicode MS" w:cs="Arial Unicode MS"/>
          <w:b w:val="0"/>
          <w:i w:val="0"/>
        </w:rPr>
        <w:t>発注内容は、金額、納期、支払条件、納品物、成果物又は役務内容が確認できる形で保存する。</w:t>
      </w:r>
    </w:p>
    <w:p>
      <w:pPr>
        <w:pStyle w:val="Heading2"/>
      </w:pPr>
      <w:r>
        <w:rPr>
          <w:rFonts w:ascii="Arial Unicode MS" w:hAnsi="Arial Unicode MS" w:eastAsia="Arial Unicode MS" w:cs="Arial Unicode MS"/>
          <w:b w:val="0"/>
          <w:i w:val="0"/>
        </w:rPr>
        <w:t>第12条（納期管理）</w:t>
      </w:r>
    </w:p>
    <w:p>
      <w:pPr>
        <w:spacing w:before="0" w:after="120" w:line="264" w:lineRule="auto"/>
      </w:pPr>
      <w:r>
        <w:rPr>
          <w:rFonts w:ascii="Arial Unicode MS" w:hAnsi="Arial Unicode MS" w:eastAsia="Arial Unicode MS" w:cs="Arial Unicode MS"/>
          <w:b w:val="0"/>
          <w:i w:val="0"/>
        </w:rPr>
        <w:t>担当部門は、発注品又はサービスの納期について常に把握し、適正な納期確保に努めなければならない。</w:t>
      </w:r>
    </w:p>
    <w:p>
      <w:pPr>
        <w:pStyle w:val="Heading2"/>
      </w:pPr>
      <w:r>
        <w:rPr>
          <w:rFonts w:ascii="Arial Unicode MS" w:hAnsi="Arial Unicode MS" w:eastAsia="Arial Unicode MS" w:cs="Arial Unicode MS"/>
          <w:b w:val="0"/>
          <w:i w:val="0"/>
        </w:rPr>
        <w:t>第13条（納期の変更）</w:t>
      </w:r>
    </w:p>
    <w:p>
      <w:pPr>
        <w:spacing w:before="0" w:after="120" w:line="264" w:lineRule="auto"/>
      </w:pPr>
      <w:r>
        <w:rPr>
          <w:rFonts w:ascii="Arial Unicode MS" w:hAnsi="Arial Unicode MS" w:eastAsia="Arial Unicode MS" w:cs="Arial Unicode MS"/>
          <w:b w:val="0"/>
          <w:i w:val="0"/>
        </w:rPr>
        <w:t>担当部門は、納期に変更が生じた場合、関係者へ速やかに連絡し、業務遂行に支障をきたさないよう対応しなければならない。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重要な納期変更、追加費用、契約条件変更又は業務影響がある場合、担当部門は、管理部及び承認者へ報告し、必要な承認を得る。</w:t>
      </w:r>
    </w:p>
    <w:p>
      <w:pPr>
        <w:pStyle w:val="Heading1"/>
      </w:pPr>
      <w:r>
        <w:rPr>
          <w:rFonts w:ascii="Arial Unicode MS" w:hAnsi="Arial Unicode MS" w:eastAsia="Arial Unicode MS" w:cs="Arial Unicode MS"/>
          <w:b w:val="0"/>
          <w:i w:val="0"/>
        </w:rPr>
        <w:t>第4章　検収及び支払</w:t>
      </w:r>
    </w:p>
    <w:p>
      <w:pPr>
        <w:pStyle w:val="Heading2"/>
      </w:pPr>
      <w:r>
        <w:rPr>
          <w:rFonts w:ascii="Arial Unicode MS" w:hAnsi="Arial Unicode MS" w:eastAsia="Arial Unicode MS" w:cs="Arial Unicode MS"/>
          <w:b w:val="0"/>
          <w:i w:val="0"/>
        </w:rPr>
        <w:t>第14条（検収）</w:t>
      </w:r>
    </w:p>
    <w:p>
      <w:pPr>
        <w:spacing w:before="0" w:after="120" w:line="264" w:lineRule="auto"/>
      </w:pPr>
      <w:r>
        <w:rPr>
          <w:rFonts w:ascii="Arial Unicode MS" w:hAnsi="Arial Unicode MS" w:eastAsia="Arial Unicode MS" w:cs="Arial Unicode MS"/>
          <w:b w:val="0"/>
          <w:i w:val="0"/>
        </w:rPr>
        <w:t>納入された物品、サービス、システム又は成果物については、原則として購買を行った担当部門において受入確認又は検収を実施する。</w:t>
      </w:r>
    </w:p>
    <w:p>
      <w:pPr>
        <w:pStyle w:val="ListNumber"/>
        <w:spacing w:before="0" w:after="160" w:line="280" w:lineRule="auto"/>
        <w:ind w:left="720" w:hanging="360"/>
      </w:pPr>
      <w:r>
        <w:rPr>
          <w:rFonts w:ascii="Arial Unicode MS" w:hAnsi="Arial Unicode MS" w:eastAsia="Arial Unicode MS" w:cs="Arial Unicode MS"/>
          <w:b w:val="0"/>
          <w:i w:val="0"/>
        </w:rPr>
        <w:t>担当部門は、納品物、成果物又は役務提供の内容が契約又は発注内容に適合していることを確認する。</w:t>
      </w:r>
    </w:p>
    <w:p>
      <w:pPr>
        <w:pStyle w:val="ListNumber"/>
        <w:spacing w:before="0" w:after="160" w:line="280" w:lineRule="auto"/>
        <w:ind w:left="720" w:hanging="360"/>
      </w:pPr>
      <w:r>
        <w:rPr>
          <w:rFonts w:ascii="Arial Unicode MS" w:hAnsi="Arial Unicode MS" w:eastAsia="Arial Unicode MS" w:cs="Arial Unicode MS"/>
          <w:b w:val="0"/>
          <w:i w:val="0"/>
        </w:rPr>
        <w:t>検収結果は、支払前に管理部へ報告又は共有する。</w:t>
      </w:r>
    </w:p>
    <w:p>
      <w:pPr>
        <w:pStyle w:val="Heading2"/>
      </w:pPr>
      <w:r>
        <w:rPr>
          <w:rFonts w:ascii="Arial Unicode MS" w:hAnsi="Arial Unicode MS" w:eastAsia="Arial Unicode MS" w:cs="Arial Unicode MS"/>
          <w:b w:val="0"/>
          <w:i w:val="0"/>
        </w:rPr>
        <w:t>第15条（返品及び不備対応）</w:t>
      </w:r>
    </w:p>
    <w:p>
      <w:pPr>
        <w:spacing w:before="0" w:after="120" w:line="264" w:lineRule="auto"/>
      </w:pPr>
      <w:r>
        <w:rPr>
          <w:rFonts w:ascii="Arial Unicode MS" w:hAnsi="Arial Unicode MS" w:eastAsia="Arial Unicode MS" w:cs="Arial Unicode MS"/>
          <w:b w:val="0"/>
          <w:i w:val="0"/>
        </w:rPr>
        <w:t>不良品、仕様不一致、数量不足、成果物不備その他契約又は発注内容に適合しない事項を発見した場合、担当部門は、速やかに購買先へ返品、修正、再納品、代替対応その他必要な対応を求める。</w:t>
      </w:r>
    </w:p>
    <w:p>
      <w:pPr>
        <w:pStyle w:val="Heading2"/>
      </w:pPr>
      <w:r>
        <w:rPr>
          <w:rFonts w:ascii="Arial Unicode MS" w:hAnsi="Arial Unicode MS" w:eastAsia="Arial Unicode MS" w:cs="Arial Unicode MS"/>
          <w:b w:val="0"/>
          <w:i w:val="0"/>
        </w:rPr>
        <w:t>第16条（支払事務）</w:t>
      </w:r>
    </w:p>
    <w:p>
      <w:pPr>
        <w:spacing w:before="0" w:after="120" w:line="264" w:lineRule="auto"/>
      </w:pPr>
      <w:r>
        <w:rPr>
          <w:rFonts w:ascii="Arial Unicode MS" w:hAnsi="Arial Unicode MS" w:eastAsia="Arial Unicode MS" w:cs="Arial Unicode MS"/>
          <w:b w:val="0"/>
          <w:i w:val="0"/>
        </w:rPr>
        <w:t>検収終了後の支払事務は、担当部門責任者又は承認者の確認を得た請求書等に基づき、管理部又は経理担当者が行う。</w:t>
      </w:r>
    </w:p>
    <w:p>
      <w:pPr>
        <w:pStyle w:val="ListNumber"/>
        <w:spacing w:before="0" w:after="160" w:line="280" w:lineRule="auto"/>
        <w:ind w:left="720" w:hanging="360"/>
      </w:pPr>
      <w:r>
        <w:rPr>
          <w:rFonts w:ascii="Arial Unicode MS" w:hAnsi="Arial Unicode MS" w:eastAsia="Arial Unicode MS" w:cs="Arial Unicode MS"/>
          <w:b w:val="0"/>
          <w:i w:val="0"/>
        </w:rPr>
        <w:t>支払は、資金管理規程及び経理規程に従い、請求書、契約書、発注内容、検収状況その他必要な証憑を確認したうえで行う。</w:t>
      </w:r>
    </w:p>
    <w:p>
      <w:pPr>
        <w:pStyle w:val="Heading2"/>
      </w:pPr>
      <w:r>
        <w:rPr>
          <w:rFonts w:ascii="Arial Unicode MS" w:hAnsi="Arial Unicode MS" w:eastAsia="Arial Unicode MS" w:cs="Arial Unicode MS"/>
          <w:b w:val="0"/>
          <w:i w:val="0"/>
        </w:rPr>
        <w:t>第17条（支払条件）</w:t>
      </w:r>
    </w:p>
    <w:p>
      <w:pPr>
        <w:spacing w:before="0" w:after="120" w:line="264" w:lineRule="auto"/>
      </w:pPr>
      <w:r>
        <w:rPr>
          <w:rFonts w:ascii="Arial Unicode MS" w:hAnsi="Arial Unicode MS" w:eastAsia="Arial Unicode MS" w:cs="Arial Unicode MS"/>
          <w:b w:val="0"/>
          <w:i w:val="0"/>
        </w:rPr>
        <w:t>購買代金の支払条件は、契約書、利用規約、申込書、発注書、請求書その他取引条件を確認できる資料に基づく。</w:t>
      </w:r>
    </w:p>
    <w:p>
      <w:pPr>
        <w:pStyle w:val="ListNumber"/>
        <w:spacing w:before="0" w:after="160" w:line="280" w:lineRule="auto"/>
        <w:ind w:left="720" w:hanging="360"/>
      </w:pPr>
      <w:r>
        <w:rPr>
          <w:rFonts w:ascii="Arial Unicode MS" w:hAnsi="Arial Unicode MS" w:eastAsia="Arial Unicode MS" w:cs="Arial Unicode MS"/>
          <w:b w:val="0"/>
          <w:i w:val="0"/>
        </w:rPr>
        <w:t>通常と異なる支払条件、前払、長期契約、自動更新契約その他重要な条件を含む場合、担当部門は、事前に管理部へ共有し、必要な承認を得る。</w:t>
      </w:r>
    </w:p>
    <w:p>
      <w:pPr>
        <w:pStyle w:val="Heading1"/>
      </w:pPr>
      <w:r>
        <w:rPr>
          <w:rFonts w:ascii="Arial Unicode MS" w:hAnsi="Arial Unicode MS" w:eastAsia="Arial Unicode MS" w:cs="Arial Unicode MS"/>
          <w:b w:val="0"/>
          <w:i w:val="0"/>
        </w:rPr>
        <w:t>第5章　その他</w:t>
      </w:r>
    </w:p>
    <w:p>
      <w:pPr>
        <w:pStyle w:val="Heading2"/>
      </w:pPr>
      <w:r>
        <w:rPr>
          <w:rFonts w:ascii="Arial Unicode MS" w:hAnsi="Arial Unicode MS" w:eastAsia="Arial Unicode MS" w:cs="Arial Unicode MS"/>
          <w:b w:val="0"/>
          <w:i w:val="0"/>
        </w:rPr>
        <w:t>第18条（記載事項の修正）</w:t>
      </w:r>
    </w:p>
    <w:p>
      <w:pPr>
        <w:spacing w:before="0" w:after="120" w:line="264" w:lineRule="auto"/>
      </w:pPr>
      <w:r>
        <w:rPr>
          <w:rFonts w:ascii="Arial Unicode MS" w:hAnsi="Arial Unicode MS" w:eastAsia="Arial Unicode MS" w:cs="Arial Unicode MS"/>
          <w:b w:val="0"/>
          <w:i w:val="0"/>
        </w:rPr>
        <w:t>担当部門は、証憑となる帳票、申請、見積書、発注書、契約書、請求書、検収記録その他購買に関する資料を修正するときは、修正理由、修正日及び修正者が確認できる方法で明確に訂正し、必要に応じて担当部門責任者又は承認者の承認を受けなければならない。</w:t>
      </w:r>
    </w:p>
    <w:p>
      <w:pPr>
        <w:pStyle w:val="ListNumber"/>
        <w:spacing w:before="0" w:after="160" w:line="280" w:lineRule="auto"/>
        <w:ind w:left="720" w:hanging="360"/>
      </w:pPr>
      <w:r>
        <w:rPr>
          <w:rFonts w:ascii="Arial Unicode MS" w:hAnsi="Arial Unicode MS" w:eastAsia="Arial Unicode MS" w:cs="Arial Unicode MS"/>
          <w:b w:val="0"/>
          <w:i w:val="0"/>
        </w:rPr>
        <w:t>いかなる理由があっても、証憑又は帳票を任意に書き替え、改ざんし、又は事後確認ができない方法で修正してはならない。</w:t>
      </w:r>
    </w:p>
    <w:p>
      <w:pPr>
        <w:pStyle w:val="Heading2"/>
      </w:pPr>
      <w:r>
        <w:rPr>
          <w:rFonts w:ascii="Arial Unicode MS" w:hAnsi="Arial Unicode MS" w:eastAsia="Arial Unicode MS" w:cs="Arial Unicode MS"/>
          <w:b w:val="0"/>
          <w:i w:val="0"/>
        </w:rPr>
        <w:t>第19条（保存）</w:t>
      </w:r>
    </w:p>
    <w:p>
      <w:pPr>
        <w:spacing w:before="0" w:after="120" w:line="264" w:lineRule="auto"/>
      </w:pPr>
      <w:r>
        <w:rPr>
          <w:rFonts w:ascii="Arial Unicode MS" w:hAnsi="Arial Unicode MS" w:eastAsia="Arial Unicode MS" w:cs="Arial Unicode MS"/>
          <w:b w:val="0"/>
          <w:i w:val="0"/>
        </w:rPr>
        <w:t>購買申請、見積書、契約書、発注記録、検収記録、請求書、支払記録、購買先情報その他購買に関する資料は、管理部又は担当部門が保存管理する。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購買に関する資料の保存期間は、原則として10年とする。ただし、法令又は文書管理規程によりこれより長い保存期間が定められる場合は、当該期間による。</w:t>
      </w:r>
    </w:p>
    <w:p>
      <w:pPr>
        <w:pStyle w:val="Heading2"/>
      </w:pPr>
      <w:r>
        <w:rPr>
          <w:rFonts w:ascii="Arial Unicode MS" w:hAnsi="Arial Unicode MS" w:eastAsia="Arial Unicode MS" w:cs="Arial Unicode MS"/>
          <w:b w:val="0"/>
          <w:i w:val="0"/>
        </w:rPr>
        <w:t>第20条（報告）</w:t>
      </w:r>
    </w:p>
    <w:p>
      <w:pPr>
        <w:spacing w:before="0" w:after="120" w:line="264" w:lineRule="auto"/>
      </w:pPr>
      <w:r>
        <w:rPr>
          <w:rFonts w:ascii="Arial Unicode MS" w:hAnsi="Arial Unicode MS" w:eastAsia="Arial Unicode MS" w:cs="Arial Unicode MS"/>
          <w:b w:val="0"/>
          <w:i w:val="0"/>
        </w:rPr>
        <w:t>担当部門は、重要な購買、予算外購買、支払遅延、納期遅延、品質不良、取引先との紛争その他重要事項を経営会議に報告する。</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主な購買先</w:t>
      </w:r>
    </w:p>
    <w:p>
      <w:pPr>
        <w:pStyle w:val="ListBullet"/>
        <w:spacing w:before="0" w:after="160" w:line="280" w:lineRule="auto"/>
        <w:ind w:left="720" w:hanging="360"/>
      </w:pPr>
      <w:r>
        <w:rPr>
          <w:rFonts w:ascii="Arial Unicode MS" w:hAnsi="Arial Unicode MS" w:eastAsia="Arial Unicode MS" w:cs="Arial Unicode MS"/>
          <w:b w:val="0"/>
          <w:i w:val="0"/>
        </w:rPr>
        <w:t>発注担当者</w:t>
      </w:r>
    </w:p>
    <w:p>
      <w:pPr>
        <w:pStyle w:val="ListBullet"/>
        <w:spacing w:before="0" w:after="160" w:line="280" w:lineRule="auto"/>
        <w:ind w:left="720" w:hanging="360"/>
      </w:pPr>
      <w:r>
        <w:rPr>
          <w:rFonts w:ascii="Arial Unicode MS" w:hAnsi="Arial Unicode MS" w:eastAsia="Arial Unicode MS" w:cs="Arial Unicode MS"/>
          <w:b w:val="0"/>
          <w:i w:val="0"/>
        </w:rPr>
        <w:t>検収担当者</w:t>
      </w:r>
    </w:p>
    <w:p>
      <w:pPr>
        <w:pStyle w:val="ListBullet"/>
        <w:spacing w:before="0" w:after="160" w:line="280" w:lineRule="auto"/>
        <w:ind w:left="720" w:hanging="360"/>
      </w:pPr>
      <w:r>
        <w:rPr>
          <w:rFonts w:ascii="Arial Unicode MS" w:hAnsi="Arial Unicode MS" w:eastAsia="Arial Unicode MS" w:cs="Arial Unicode MS"/>
          <w:b w:val="0"/>
          <w:i w:val="0"/>
        </w:rPr>
        <w:t>複数見積を必要とする金額基準</w:t>
      </w:r>
    </w:p>
    <w:p>
      <w:pPr>
        <w:pStyle w:val="ListBullet"/>
        <w:spacing w:before="0" w:after="160" w:line="280" w:lineRule="auto"/>
        <w:ind w:left="720" w:hanging="360"/>
      </w:pPr>
      <w:r>
        <w:rPr>
          <w:rFonts w:ascii="Arial Unicode MS" w:hAnsi="Arial Unicode MS" w:eastAsia="Arial Unicode MS" w:cs="Arial Unicode MS"/>
          <w:b w:val="0"/>
          <w:i w:val="0"/>
        </w:rPr>
        <w:t>継続契約、自動更新契約、SaaS契約の管理方法</w:t>
      </w:r>
    </w:p>
    <w:p>
      <w:pPr>
        <w:pStyle w:val="ListBullet"/>
        <w:spacing w:before="0" w:after="160" w:line="280" w:lineRule="auto"/>
        <w:ind w:left="720" w:hanging="360"/>
      </w:pPr>
      <w:r>
        <w:rPr>
          <w:rFonts w:ascii="Arial Unicode MS" w:hAnsi="Arial Unicode MS" w:eastAsia="Arial Unicode MS" w:cs="Arial Unicode MS"/>
          <w:b w:val="0"/>
          <w:i w:val="0"/>
        </w:rPr>
        <w:t>Notionで管理している購買先情報の項目</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反社チェックの実施方法</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購買管理規程（ドラフト）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購買管理規程（ドラフト）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