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5974967</wp:posOffset>
                </wp:positionV>
                <wp:extent cx="2543175" cy="1926021"/>
                <wp:effectExtent b="0" l="0" r="0" t="0"/>
                <wp:wrapNone/>
                <wp:docPr id="11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19260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5194300</wp:posOffset>
                </wp:positionH>
                <wp:positionV relativeFrom="page">
                  <wp:posOffset>7848881</wp:posOffset>
                </wp:positionV>
                <wp:extent cx="2543175" cy="2105025"/>
                <wp:effectExtent b="0" l="0" r="0" t="0"/>
                <wp:wrapNone/>
                <wp:docPr id="11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317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322263</wp:posOffset>
                </wp:positionH>
                <wp:positionV relativeFrom="page">
                  <wp:posOffset>5965945</wp:posOffset>
                </wp:positionV>
                <wp:extent cx="2482850" cy="2266950"/>
                <wp:effectExtent b="0" l="0" r="0" t="0"/>
                <wp:wrapNone/>
                <wp:docPr id="1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2850" cy="2266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98238" y="2841788"/>
                          <a:ext cx="22955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2651125</wp:posOffset>
                </wp:positionH>
                <wp:positionV relativeFrom="page">
                  <wp:posOffset>7848881</wp:posOffset>
                </wp:positionV>
                <wp:extent cx="2582863" cy="2105025"/>
                <wp:effectExtent b="0" l="0" r="0" t="0"/>
                <wp:wrapNone/>
                <wp:docPr id="12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2863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79188" y="2841788"/>
                          <a:ext cx="23336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accent6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317500</wp:posOffset>
                </wp:positionH>
                <wp:positionV relativeFrom="page">
                  <wp:posOffset>7848881</wp:posOffset>
                </wp:positionV>
                <wp:extent cx="2486025" cy="2105025"/>
                <wp:effectExtent b="0" l="0" r="0" t="0"/>
                <wp:wrapNone/>
                <wp:docPr id="12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6025" cy="2105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786.0" w:type="dxa"/>
        <w:jc w:val="left"/>
        <w:tblInd w:w="-115.0" w:type="dxa"/>
        <w:tblBorders>
          <w:top w:color="7f7f7f" w:space="0" w:sz="4" w:val="single"/>
          <w:bottom w:color="7f7f7f" w:space="0" w:sz="4" w:val="single"/>
          <w:insideH w:color="7f7f7f" w:space="0" w:sz="4" w:val="single"/>
        </w:tblBorders>
        <w:tblLayout w:type="fixed"/>
        <w:tblLook w:val="0420"/>
      </w:tblPr>
      <w:tblGrid>
        <w:gridCol w:w="236"/>
        <w:gridCol w:w="10314"/>
        <w:gridCol w:w="236"/>
        <w:tblGridChange w:id="0">
          <w:tblGrid>
            <w:gridCol w:w="236"/>
            <w:gridCol w:w="10314"/>
            <w:gridCol w:w="236"/>
          </w:tblGrid>
        </w:tblGridChange>
      </w:tblGrid>
      <w:tr>
        <w:trPr>
          <w:cantSplit w:val="0"/>
          <w:tblHeader w:val="0"/>
        </w:trPr>
        <w:tc>
          <w:tcPr>
            <w:gridSpan w:val="2"/>
            <w:tcMar>
              <w:top w:w="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Lesson 47                                                                                                   Date: __________________</w:t>
            </w:r>
          </w:p>
        </w:tc>
        <w:tc>
          <w:tcPr>
            <w:tcMar>
              <w:top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  <w:t xml:space="preserve">: Morse Code &amp; Signals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Learning Targets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262626"/>
                <w:sz w:val="24"/>
                <w:szCs w:val="24"/>
                <w:rtl w:val="0"/>
              </w:rPr>
              <w:t xml:space="preserve">•  Explain how Morse Code uses patterns of dots and dashes to represent letters.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Understand how a Telegraph was used to send electricity as a code.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•  Identify Morse Code as a precursor to modern digital signaling.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  <w:t xml:space="preserve">:     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Morse Code –  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Telegraph –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rPr>
                <w:color w:val="0000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  <w:b w:val="1"/>
              </w:rPr>
              <w:t xml:space="preserve">Dot –  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Dash –  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9">
            <w:pPr>
              <w:rPr>
                <w:color w:val="0000ff"/>
              </w:rPr>
            </w:pPr>
            <w:r w:rsidDel="00000000" w:rsidR="00000000" w:rsidRPr="00000000">
              <w:rPr>
                <w:rtl w:val="0"/>
                <w:b w:val="1"/>
              </w:rPr>
              <w:t xml:space="preserve">Signal –  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>Notes: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1.  The First Text Message:  </w:t>
            </w:r>
            <w:r>
              <w:rPr>
                <w:i w:val="1"/>
                <w:sz w:val="24"/>
                <w:szCs w:val="24"/>
              </w:rPr>
              <w:t xml:space="preserve">What was the very first message sent by telegraph, when was it sent, and between which two cities?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2.  Dots &amp; Dashes:  </w:t>
            </w:r>
            <w:r>
              <w:rPr>
                <w:i w:val="1"/>
                <w:sz w:val="24"/>
                <w:szCs w:val="24"/>
              </w:rPr>
              <w:t xml:space="preserve">How does Morse Code represent letters using only two types of signals (short and long)?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3.  The Sinking Ship:  </w:t>
            </w:r>
            <w:r>
              <w:rPr>
                <w:i w:val="1"/>
                <w:sz w:val="24"/>
                <w:szCs w:val="24"/>
              </w:rPr>
              <w:t xml:space="preserve">What Morse Code signal became the universal distress call, and why was it chosen?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4.  Telegraph to Modern Tech:  </w:t>
            </w:r>
            <w:r>
              <w:rPr>
                <w:i w:val="1"/>
                <w:sz w:val="24"/>
                <w:szCs w:val="24"/>
              </w:rPr>
              <w:t xml:space="preserve">How is clicking a telegraph key similar to how a computer sends digital data today?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b w:val="1"/>
                <w:sz w:val="24"/>
                <w:szCs w:val="24"/>
              </w:rPr>
              <w:t xml:space="preserve">5.  Mission Connection:  </w:t>
            </w:r>
            <w:r>
              <w:rPr>
                <w:i w:val="1"/>
                <w:sz w:val="24"/>
                <w:szCs w:val="24"/>
              </w:rPr>
              <w:t xml:space="preserve">How could you use a flashlight to send a Morse Code distress signal, and what would you send?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Key Facts: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>
            <w:pPr>
              <w:rPr/>
            </w:pPr>
            <w:r>
              <w:rPr>
                <w:sz w:val="24"/>
                <w:szCs w:val="24"/>
              </w:rPr>
              <w:t/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Q &amp; A:  Write any questions you still have after this lesson: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jc w:val="left"/>
              <w:rPr>
                <w:rFonts w:ascii="Century Gothic" w:cs="Century Gothic" w:eastAsia="Century Gothic" w:hAnsi="Century Gothic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Century Gothic" w:cs="Century Gothic" w:eastAsia="Century Gothic" w:hAnsi="Century Gothic"/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lineRule="auto"/>
    </w:pPr>
    <w:rPr>
      <w:rFonts w:ascii="Century Gothic" w:cs="Century Gothic" w:eastAsia="Century Gothic" w:hAnsi="Century Gothic"/>
      <w:b w:val="1"/>
      <w:smallCap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0E73C1"/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qFormat w:val="1"/>
    <w:rsid w:val="000E73C1"/>
    <w:pPr>
      <w:outlineLvl w:val="0"/>
    </w:pPr>
    <w:rPr>
      <w:rFonts w:asciiTheme="majorHAnsi" w:hAnsiTheme="majorHAnsi"/>
      <w:b w:val="1"/>
      <w:sz w:val="26"/>
    </w:rPr>
  </w:style>
  <w:style w:type="paragraph" w:styleId="Heading3">
    <w:name w:val="heading 3"/>
    <w:basedOn w:val="Normal"/>
    <w:next w:val="Normal"/>
    <w:semiHidden w:val="1"/>
    <w:unhideWhenUsed w:val="1"/>
    <w:qFormat w:val="1"/>
    <w:rsid w:val="00087269"/>
    <w:pPr>
      <w:keepNext w:val="1"/>
      <w:spacing w:after="120"/>
      <w:outlineLvl w:val="2"/>
    </w:pPr>
    <w:rPr>
      <w:rFonts w:ascii="Century Gothic" w:cs="Arial" w:hAnsi="Century Gothic"/>
      <w:b w:val="1"/>
      <w:bCs w:val="1"/>
      <w:smallCap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rsid w:val="00FD76B1"/>
    <w:rPr>
      <w:rFonts w:ascii="Century Gothic" w:hAnsi="Century Gothic"/>
      <w:sz w:val="22"/>
    </w:rPr>
    <w:tblPr>
      <w:tblBorders>
        <w:top w:color="7f7f7f" w:space="0" w:sz="4" w:themeColor="text1" w:themeTint="000080" w:val="single"/>
        <w:bottom w:color="7f7f7f" w:space="0" w:sz="4" w:themeColor="text1" w:themeTint="000080" w:val="single"/>
        <w:insideH w:color="7f7f7f" w:space="0" w:sz="4" w:themeColor="text1" w:themeTint="000080" w:val="single"/>
      </w:tblBorders>
      <w:tblCellMar>
        <w:top w:w="216.0" w:type="dxa"/>
        <w:left w:w="115.0" w:type="dxa"/>
        <w:right w:w="115.0" w:type="dxa"/>
      </w:tblCellMar>
    </w:tblPr>
    <w:tblStylePr w:type="firstRow">
      <w:rPr>
        <w:b w:val="1"/>
        <w:i w:val="0"/>
      </w:rPr>
      <w:tblPr/>
      <w:tcPr>
        <w:tcBorders>
          <w:top w:space="0" w:sz="0" w:val="nil"/>
          <w:left w:space="0" w:sz="0" w:val="nil"/>
          <w:bottom w:color="7f7f7f" w:space="0" w:sz="4" w:themeColor="text1" w:themeTint="000080" w:val="doub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paragraph" w:styleId="ListParagraph">
    <w:name w:val="List Paragraph"/>
    <w:basedOn w:val="Normal"/>
    <w:uiPriority w:val="34"/>
    <w:unhideWhenUsed w:val="1"/>
    <w:qFormat w:val="1"/>
    <w:rsid w:val="00733663"/>
    <w:pPr>
      <w:ind w:left="720"/>
      <w:contextualSpacing w:val="1"/>
    </w:pPr>
  </w:style>
  <w:style w:type="paragraph" w:styleId="BalloonText">
    <w:name w:val="Balloon Text"/>
    <w:basedOn w:val="Normal"/>
    <w:link w:val="BalloonTextChar"/>
    <w:semiHidden w:val="1"/>
    <w:unhideWhenUsed w:val="1"/>
    <w:rsid w:val="00691A1E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 w:val="1"/>
    <w:rsid w:val="00691A1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entury Gothic" w:cs="Century Gothic" w:eastAsia="Century Gothic" w:hAnsi="Century Gothic"/>
      <w:sz w:val="22"/>
      <w:szCs w:val="22"/>
    </w:rPr>
    <w:tblPr>
      <w:tblStyleRowBandSize w:val="1"/>
      <w:tblStyleColBandSize w:val="1"/>
      <w:tblCellMar>
        <w:top w:w="216.0" w:type="dxa"/>
        <w:left w:w="115.0" w:type="dxa"/>
        <w:bottom w:w="0.0" w:type="dxa"/>
        <w:right w:w="115.0" w:type="dxa"/>
      </w:tblCellMar>
    </w:tblPr>
    <w:tblStylePr w:type="firstRow">
      <w:rPr>
        <w:b w:val="1"/>
        <w:i w:val="0"/>
      </w:rPr>
      <w:tcPr>
        <w:tcBorders>
          <w:top w:color="000000" w:space="0" w:sz="0" w:val="nil"/>
          <w:left w:color="000000" w:space="0" w:sz="0" w:val="nil"/>
          <w:bottom w:color="7f7f7f" w:space="0" w:sz="4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H/NWLIeLFwihEbi7DmeQZKMew==">CgMxLjAyCGguZ2pkZ3hzOAByITFzWXNjZGd3TXBxQS1VM1BORHF2ampIa0VnbXdQTU9OeA==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2020-02-20T15:41:00Z</dcterms:created>
  <dc:creator>Itskovich, Steven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TC010234041033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>InternalTags</vt:lpwstr>
  </property>
  <property fmtid="{D5CDD505-2E9C-101B-9397-08002B2CF9AE}" pid="5" name="FeatureTags">
    <vt:lpwstr>FeatureTags</vt:lpwstr>
  </property>
  <property fmtid="{D5CDD505-2E9C-101B-9397-08002B2CF9AE}" pid="6" name="LocalizationTags">
    <vt:lpwstr>LocalizationTags</vt:lpwstr>
  </property>
  <property fmtid="{D5CDD505-2E9C-101B-9397-08002B2CF9AE}" pid="7" name="ScenarioTags">
    <vt:lpwstr>ScenarioTags</vt:lpwstr>
  </property>
  <property fmtid="{D5CDD505-2E9C-101B-9397-08002B2CF9AE}" pid="8" name="CampaignTags">
    <vt:lpwstr>CampaignTags</vt:lpwstr>
  </property>
  <property fmtid="{D5CDD505-2E9C-101B-9397-08002B2CF9AE}" pid="9" name="LocMarketGroupTiers">
    <vt:lpwstr>,t:Tier 1,t:Tier 2,t:Tier 3,</vt:lpwstr>
  </property>
</Properties>
</file>