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1EA32">
      <w:pPr>
        <w:spacing w:before="600" w:after="200"/>
        <w:jc w:val="cente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CONCEPT NOTE</w:t>
      </w:r>
    </w:p>
    <w:p w14:paraId="5452A260">
      <w:pPr>
        <w:spacing w:after="100"/>
        <w:jc w:val="cente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Five (5)-Day National Training of Trainers/Users on the</w:t>
      </w:r>
    </w:p>
    <w:p w14:paraId="6FD86317">
      <w:pPr>
        <w:spacing w:after="100"/>
        <w:jc w:val="cente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EasyFlow-L Integrated Opioid</w:t>
      </w:r>
      <w:r>
        <w:rPr>
          <w:rFonts w:hint="default" w:ascii="Times New Roman" w:hAnsi="Times New Roman" w:cs="Times New Roman"/>
          <w:b w:val="0"/>
          <w:bCs w:val="0"/>
          <w:i w:val="0"/>
          <w:iCs w:val="0"/>
          <w:color w:val="auto"/>
          <w:sz w:val="24"/>
          <w:szCs w:val="24"/>
          <w:lang w:val="en-US"/>
        </w:rPr>
        <w:t xml:space="preserve"> Replacement Patient</w:t>
      </w:r>
      <w:r>
        <w:rPr>
          <w:rFonts w:hint="default" w:ascii="Times New Roman" w:hAnsi="Times New Roman" w:cs="Times New Roman"/>
          <w:b w:val="0"/>
          <w:bCs w:val="0"/>
          <w:i w:val="0"/>
          <w:iCs w:val="0"/>
          <w:color w:val="auto"/>
          <w:sz w:val="24"/>
          <w:szCs w:val="24"/>
        </w:rPr>
        <w:t xml:space="preserve"> Management System</w:t>
      </w:r>
    </w:p>
    <w:p w14:paraId="4DB07D1D">
      <w:pPr>
        <w:spacing w:after="300"/>
        <w:jc w:val="cente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For Multidisciplinary Teams at Medication-Assisted Therapy (MAT) Clinics, Kenya</w:t>
      </w:r>
    </w:p>
    <w:p w14:paraId="0E62A7F7">
      <w:pPr>
        <w:spacing w:after="60"/>
        <w:jc w:val="cente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Submitted to: National AIDS and STI Control Programme (NASCOP), Ministry of Health</w:t>
      </w:r>
    </w:p>
    <w:p w14:paraId="7F845B6C">
      <w:pPr>
        <w:spacing w:after="60"/>
        <w:jc w:val="center"/>
        <w:rPr>
          <w:rFonts w:hint="default" w:ascii="Times New Roman" w:hAnsi="Times New Roman" w:cs="Times New Roman"/>
          <w:b w:val="0"/>
          <w:bCs w:val="0"/>
          <w:i w:val="0"/>
          <w:iCs w:val="0"/>
          <w:color w:val="auto"/>
          <w:sz w:val="24"/>
          <w:szCs w:val="24"/>
          <w:lang w:val="en-US"/>
        </w:rPr>
      </w:pPr>
      <w:r>
        <w:rPr>
          <w:rFonts w:hint="default" w:ascii="Times New Roman" w:hAnsi="Times New Roman" w:cs="Times New Roman"/>
          <w:b w:val="0"/>
          <w:bCs w:val="0"/>
          <w:i w:val="0"/>
          <w:iCs w:val="0"/>
          <w:color w:val="auto"/>
          <w:sz w:val="24"/>
          <w:szCs w:val="24"/>
        </w:rPr>
        <w:t xml:space="preserve">Prepared by: </w:t>
      </w:r>
      <w:r>
        <w:rPr>
          <w:rFonts w:hint="default" w:ascii="Times New Roman" w:hAnsi="Times New Roman" w:cs="Times New Roman"/>
          <w:b w:val="0"/>
          <w:bCs w:val="0"/>
          <w:i w:val="0"/>
          <w:iCs w:val="0"/>
          <w:color w:val="auto"/>
          <w:sz w:val="24"/>
          <w:szCs w:val="24"/>
          <w:lang w:val="en-US"/>
        </w:rPr>
        <w:t>Lvcthealth</w:t>
      </w:r>
    </w:p>
    <w:p w14:paraId="4E63827F">
      <w:pPr>
        <w:spacing w:after="400"/>
        <w:jc w:val="cente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July 2026</w:t>
      </w:r>
    </w:p>
    <w:p w14:paraId="26BB72CD">
      <w:pPr>
        <w:pStyle w:val="2"/>
        <w:numPr>
          <w:numId w:val="0"/>
        </w:num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Background and Rationale</w:t>
      </w:r>
    </w:p>
    <w:p w14:paraId="1B1959D6">
      <w:pPr>
        <w:pStyle w:val="2"/>
        <w:numPr>
          <w:numId w:val="0"/>
        </w:num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Kenya's Medication-Assisted Therapy (MAT) programme, coordinated by NASCOP together with county health management teams and implementing partners, provides methadone and buprenorphine-based opioid substitution therapy to people who use drugs. MAT clinics are required to register clients, dispense daily doses (often via automated pump dispensers), track clinical, psychosocial and laboratory follow-up, monitor retention and lost-to-follow-up (LTFU), and submit standard MOH monthly reports (including MOH 731 Plus-6 and related P-series forms) that ultimately feed into the Kenya Health Information System (KHIS).</w:t>
      </w:r>
    </w:p>
    <w:p w14:paraId="67482685">
      <w:pPr>
        <w:pStyle w:val="2"/>
        <w:numPr>
          <w:numId w:val="0"/>
        </w:num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EasyFlow-L (also referenced in system documentation as IORPMS – Integrated Opioid Replacement Patient Management System) is a purpose-built, MOH-aligned client management system that digitises the full MAT service cycle — client intake and induction, psychosocial and clinical encounters, laboratory/toxicology, pharmacy stock and dispensing (including pump-assisted dispensing and calibration), pharmacovigilance, referrals, biometrics, and standard MOH/KHIS reporting — in one facility-based application that can run with limited connectivity and is available in English, French and Portuguese for cross-border and refugee-serving sites.</w:t>
      </w:r>
    </w:p>
    <w:p w14:paraId="3C9BFAB4">
      <w:pPr>
        <w:pStyle w:val="2"/>
        <w:numPr>
          <w:numId w:val="0"/>
        </w:num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As EasyFlow-L is rolled out to additional MAT sites, facility teams need structured, hands-on training so that every cadre involved in MAT service delivery can use the module(s) relevant to their role correctly and consistently, and so that facilities can reliably compile and submit accurate monthly reports to KHIS. This concept note proposes a 5-day, multidisciplinary training that brings together all cadres responsible for MAT service modules at a facility, culminating in participants independently generating the full monthly report package — including a new AI-assisted analytics and risk-estimation report described in Section 6.</w:t>
      </w:r>
    </w:p>
    <w:p w14:paraId="7DF0BFCD">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Objectives</w:t>
      </w:r>
    </w:p>
    <w:p w14:paraId="02CF798C">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Overall Objective</w:t>
      </w:r>
    </w:p>
    <w:p w14:paraId="1EA4D1C7">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To equip multidisciplinary MAT clinic teams with the practical knowledge and skills to operate the EasyFlow-L system end-to-end — from client induction to monthly KHIS reporting — in order to improve data quality, client retention, and evidence-based clinical decision-making at MAT sites.</w:t>
      </w:r>
    </w:p>
    <w:p w14:paraId="0B14E31E">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Specific Objectives</w:t>
      </w:r>
    </w:p>
    <w:p w14:paraId="0F0CECB7">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Orient participants to the EasyFlow-L system architecture, user roles, and role-based access relevant to their cadre.</w:t>
      </w:r>
    </w:p>
    <w:p w14:paraId="5ED63048">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Build participant competence in client registration, induction, and psychosocial/clinical intake documentation.</w:t>
      </w:r>
    </w:p>
    <w:p w14:paraId="085AE756">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Build participant competence in pharmacy stock management and both manual and pump-assisted dispensing, including pump calibration and prison/transit sequential dispensing.</w:t>
      </w:r>
    </w:p>
    <w:p w14:paraId="77B37524">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Build participant competence in laboratory/toxicology results entry, pharmacovigilance (adverse drug event) reporting, referrals and linkage, appointments, and biometric enrolment.</w:t>
      </w:r>
    </w:p>
    <w:p w14:paraId="148AACDA">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Build participant competence in generating standard MOH reports (daily summaries, MOH 731 Plus-6, Form P5/P7/P8, patient treatment card Form 3C) and completing the monthly KHIS submission workflow.</w:t>
      </w:r>
    </w:p>
    <w:p w14:paraId="77D7C0A6">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Introduce and build competence in the new AI-Assisted Analytics &amp; Risk Report — covering induction trends, status-change trends, LTFU analysis by age, sex, dosage and time-in-programme, and a statistical risk estimator for new inductions — as a decision-support tool for retention planning.</w:t>
      </w:r>
    </w:p>
    <w:p w14:paraId="1CA1005F">
      <w:pPr>
        <w:pStyle w:val="2"/>
        <w:numPr>
          <w:ilvl w:val="0"/>
          <w:numId w:val="1"/>
        </w:numPr>
        <w:ind w:left="425" w:leftChars="0" w:hanging="425"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Assess participant competence through practical, hands-on exercises culminating in independent generation of the full report bundle.</w:t>
      </w:r>
    </w:p>
    <w:p w14:paraId="6759BEFE">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Target Participants</w:t>
      </w:r>
    </w:p>
    <w:p w14:paraId="05CFCDBE">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training is deliberately multidisciplinary: all cadres who use EasyFlow-L modules at a MAT site should attend together so the whole facility team practises the shared client workflow, not just their own module in isolation. Recommended participant cadres (drawn from the system's defined user roles) include:</w:t>
      </w:r>
    </w:p>
    <w:p w14:paraId="62E653F2">
      <w:pPr>
        <w:pStyle w:val="2"/>
        <w:numPr>
          <w:ilvl w:val="0"/>
          <w:numId w:val="2"/>
        </w:numPr>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Facility In-Charge / Administrator (Super Admin / Admin) — system administration, user management, back-up</w:t>
      </w:r>
    </w:p>
    <w:p w14:paraId="28790ED6">
      <w:pPr>
        <w:pStyle w:val="2"/>
        <w:numPr>
          <w:ilvl w:val="0"/>
          <w:numId w:val="2"/>
        </w:numPr>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Clinician — induction, prescribing, clinical encounters</w:t>
      </w:r>
    </w:p>
    <w:p w14:paraId="276950AA">
      <w:pPr>
        <w:pStyle w:val="2"/>
        <w:numPr>
          <w:ilvl w:val="0"/>
          <w:numId w:val="2"/>
        </w:numPr>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Nursing staff — clinical/nursing encounters and vitals</w:t>
      </w:r>
    </w:p>
    <w:p w14:paraId="743FD988">
      <w:pPr>
        <w:pStyle w:val="2"/>
        <w:numPr>
          <w:ilvl w:val="0"/>
          <w:numId w:val="2"/>
        </w:numPr>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Psychiatrist / Psychologist (Counsellor) — psychosocial intake, follow-up, PHQ-9/GAD-7 assessments</w:t>
      </w:r>
    </w:p>
    <w:p w14:paraId="66974E5F">
      <w:pPr>
        <w:pStyle w:val="16"/>
        <w:numPr>
          <w:ilvl w:val="0"/>
          <w:numId w:val="2"/>
        </w:numPr>
        <w:spacing w:after="8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Pharmacist / Pharmacy Technician — stock, dispensing, pump calibration</w:t>
      </w:r>
    </w:p>
    <w:p w14:paraId="5F061EF9">
      <w:pPr>
        <w:pStyle w:val="16"/>
        <w:numPr>
          <w:ilvl w:val="0"/>
          <w:numId w:val="2"/>
        </w:numPr>
        <w:spacing w:after="8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Laboratory Scientist — toxicology and laboratory results</w:t>
      </w:r>
    </w:p>
    <w:p w14:paraId="1CA30684">
      <w:pPr>
        <w:pStyle w:val="16"/>
        <w:numPr>
          <w:ilvl w:val="0"/>
          <w:numId w:val="2"/>
        </w:numPr>
        <w:spacing w:after="8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Peer Educator — daily roll call, community follow-up, retention support</w:t>
      </w:r>
    </w:p>
    <w:p w14:paraId="7F951DE3">
      <w:pPr>
        <w:pStyle w:val="16"/>
        <w:numPr>
          <w:ilvl w:val="0"/>
          <w:numId w:val="2"/>
        </w:numPr>
        <w:spacing w:after="8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Receptionist / Records Officer — registration, appointments, records</w:t>
      </w:r>
    </w:p>
    <w:p w14:paraId="24EDEDDD">
      <w:pPr>
        <w:pStyle w:val="16"/>
        <w:numPr>
          <w:ilvl w:val="0"/>
          <w:numId w:val="2"/>
        </w:numPr>
        <w:spacing w:after="80"/>
        <w:ind w:left="420" w:leftChars="0" w:hanging="420" w:firstLineChars="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HRIO / Data Manager (M&amp;E Focal Person) — reporting, KHIS submission, data quality</w:t>
      </w:r>
    </w:p>
    <w:p w14:paraId="4BDFB160">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Recommended size: 20–30 participants per cohort (a mix of facilities so peer learning across sites is possible), ideally 2–4 staff per facility spanning different cadres. Where multiple cohorts are needed to reach all MAT sites nationally, this concept note can be replicated per cohort/region.</w:t>
      </w:r>
    </w:p>
    <w:p w14:paraId="2B82438C">
      <w:pPr>
        <w:pStyle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Training Methodology</w:t>
      </w:r>
    </w:p>
    <w:p w14:paraId="7FB9DB04">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training uses adult-learning, competency-based methodology with a strong practical bias:</w:t>
      </w:r>
    </w:p>
    <w:p w14:paraId="1266776E">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Short facilitator-led orientation per module (theory kept brief, max 30% of session time)</w:t>
      </w:r>
    </w:p>
    <w:p w14:paraId="254CC23D">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Live, hands-on practice on a training instance of EasyFlow-L using de-identified/mock client data</w:t>
      </w:r>
    </w:p>
    <w:p w14:paraId="2D19B9F3">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Paired and small-group exercises reflecting real facility workflows (e.g., one participant registers a mock client, another inducts, another dispenses)</w:t>
      </w:r>
    </w:p>
    <w:p w14:paraId="6F09D0E4">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Case scenarios and simulated “client journeys” spanning multiple modules and multiple mock visit days</w:t>
      </w:r>
    </w:p>
    <w:p w14:paraId="5DFE9BCB">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Daily practical checklists and a cumulative end-of-training assessment requiring independent report generation</w:t>
      </w:r>
    </w:p>
    <w:p w14:paraId="22B0475D">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Facilitator pool: EasyFlow-L technical/business analyst team plus experienced MAT clinical mentors</w:t>
      </w:r>
    </w:p>
    <w:p w14:paraId="17F40505">
      <w:pPr>
        <w:pStyle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Five-Day Content Outline</w:t>
      </w:r>
    </w:p>
    <w:p w14:paraId="1F13A31F">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detailed, timed facilitator/participant guide is provided in the accompanying Training Manual. Summary outline: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560"/>
      </w:tblGrid>
      <w:tr w14:paraId="0B22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2" w:space="0"/>
              <w:left w:val="single" w:color="BFBFBF" w:sz="2" w:space="0"/>
              <w:bottom w:val="single" w:color="BFBFBF" w:sz="2" w:space="0"/>
              <w:right w:val="single" w:color="BFBFBF" w:sz="2" w:space="0"/>
            </w:tcBorders>
            <w:shd w:val="clear" w:color="auto" w:fill="0A1172"/>
            <w:tcMar>
              <w:top w:w="80" w:type="dxa"/>
              <w:left w:w="120" w:type="dxa"/>
              <w:bottom w:w="80" w:type="dxa"/>
              <w:right w:w="120" w:type="dxa"/>
            </w:tcMar>
          </w:tcPr>
          <w:p w14:paraId="231218C8">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Day</w:t>
            </w:r>
          </w:p>
        </w:tc>
        <w:tc>
          <w:tcPr>
            <w:tcW w:w="2600" w:type="dxa"/>
            <w:tcBorders>
              <w:top w:val="single" w:color="BFBFBF" w:sz="2" w:space="0"/>
              <w:left w:val="single" w:color="BFBFBF" w:sz="2" w:space="0"/>
              <w:bottom w:val="single" w:color="BFBFBF" w:sz="2" w:space="0"/>
              <w:right w:val="single" w:color="BFBFBF" w:sz="2" w:space="0"/>
            </w:tcBorders>
            <w:shd w:val="clear" w:color="auto" w:fill="0A1172"/>
            <w:tcMar>
              <w:top w:w="80" w:type="dxa"/>
              <w:left w:w="120" w:type="dxa"/>
              <w:bottom w:w="80" w:type="dxa"/>
              <w:right w:w="120" w:type="dxa"/>
            </w:tcMar>
          </w:tcPr>
          <w:p w14:paraId="38CB3628">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Focus</w:t>
            </w:r>
          </w:p>
        </w:tc>
        <w:tc>
          <w:tcPr>
            <w:tcW w:w="5560" w:type="dxa"/>
            <w:tcBorders>
              <w:top w:val="single" w:color="BFBFBF" w:sz="2" w:space="0"/>
              <w:left w:val="single" w:color="BFBFBF" w:sz="2" w:space="0"/>
              <w:bottom w:val="single" w:color="BFBFBF" w:sz="2" w:space="0"/>
              <w:right w:val="single" w:color="BFBFBF" w:sz="2" w:space="0"/>
            </w:tcBorders>
            <w:shd w:val="clear" w:color="auto" w:fill="0A1172"/>
            <w:tcMar>
              <w:top w:w="80" w:type="dxa"/>
              <w:left w:w="120" w:type="dxa"/>
              <w:bottom w:w="80" w:type="dxa"/>
              <w:right w:w="120" w:type="dxa"/>
            </w:tcMar>
          </w:tcPr>
          <w:p w14:paraId="6F32BEE7">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Key Modules / Practical Output</w:t>
            </w:r>
          </w:p>
        </w:tc>
      </w:tr>
      <w:tr w14:paraId="29BB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6FF86937">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1</w:t>
            </w:r>
          </w:p>
        </w:tc>
        <w:tc>
          <w:tcPr>
            <w:tcW w:w="26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5D5B9049">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Orientation, Registration &amp; Intake</w:t>
            </w:r>
          </w:p>
        </w:tc>
        <w:tc>
          <w:tcPr>
            <w:tcW w:w="556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1BCB4F56">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System overview &amp; roles; Patient registration; Induction/intake; Psychosocial intake form; Consents. Practical: register and induct a mock client.</w:t>
            </w:r>
          </w:p>
        </w:tc>
      </w:tr>
      <w:tr w14:paraId="606D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03CBC42F">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2</w:t>
            </w:r>
          </w:p>
        </w:tc>
        <w:tc>
          <w:tcPr>
            <w:tcW w:w="26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06931968">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Pharmacy, Dispensing &amp; Pump</w:t>
            </w:r>
          </w:p>
        </w:tc>
        <w:tc>
          <w:tcPr>
            <w:tcW w:w="556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19735B4C">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Drug/stock management; manual dispensing; pump-assisted dispensing &amp; calibration; co-medication (ARV/TB) auto-dispense; prison/transit sequential dispensing. Practical: calibrate a pump and dispense to mock clients incl. one prison/transit case.</w:t>
            </w:r>
          </w:p>
        </w:tc>
      </w:tr>
      <w:tr w14:paraId="2997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1B54D342">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3</w:t>
            </w:r>
          </w:p>
        </w:tc>
        <w:tc>
          <w:tcPr>
            <w:tcW w:w="26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72016F0E">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Clinical &amp; Support Services</w:t>
            </w:r>
          </w:p>
        </w:tc>
        <w:tc>
          <w:tcPr>
            <w:tcW w:w="556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204EF253">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Clinical encounters; laboratory/toxicology results; pharmacovigilance (adverse events); referrals &amp; linkage; appointments; biometrics. Practical: complete one mock client's full visit cycle across modules.</w:t>
            </w:r>
          </w:p>
        </w:tc>
      </w:tr>
      <w:tr w14:paraId="06F9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32F10782">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4</w:t>
            </w:r>
          </w:p>
        </w:tc>
        <w:tc>
          <w:tcPr>
            <w:tcW w:w="26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76C7A4BA">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Reporting &amp; KHIS Linkage</w:t>
            </w:r>
          </w:p>
        </w:tc>
        <w:tc>
          <w:tcPr>
            <w:tcW w:w="556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2A75E3B6">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Daily summaries; MOH 731 Plus-6; Form P5/P7/P8; patient treatment card (Form 3C); status-change/transfer/consent reports; AI-Assisted Analytics &amp; Risk Report (induction trends, LTFU analysis, risk estimator); KHIS monthly submission checklist. Practical: generate the full monthly report bundle.</w:t>
            </w:r>
          </w:p>
        </w:tc>
      </w:tr>
      <w:tr w14:paraId="56B56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73DAF56A">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5</w:t>
            </w:r>
          </w:p>
        </w:tc>
        <w:tc>
          <w:tcPr>
            <w:tcW w:w="260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1BE8D611">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Integrated Simulation &amp; Assessment</w:t>
            </w:r>
          </w:p>
        </w:tc>
        <w:tc>
          <w:tcPr>
            <w:tcW w:w="556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tcPr>
          <w:p w14:paraId="58CAE08C">
            <w:pPr>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End-to-end simulated month of facility operation; data back-up &amp; security refresher; troubleshooting clinic; post-test and independent practical assessment; facility action planning; certification.</w:t>
            </w:r>
          </w:p>
        </w:tc>
      </w:tr>
    </w:tbl>
    <w:p w14:paraId="284151AB">
      <w:pPr>
        <w:spacing w:after="160"/>
        <w:rPr>
          <w:rFonts w:hint="default" w:ascii="Times New Roman" w:hAnsi="Times New Roman" w:cs="Times New Roman"/>
          <w:b w:val="0"/>
          <w:bCs w:val="0"/>
          <w:i w:val="0"/>
          <w:iCs w:val="0"/>
          <w:color w:val="auto"/>
          <w:sz w:val="24"/>
          <w:szCs w:val="24"/>
        </w:rPr>
      </w:pPr>
    </w:p>
    <w:p w14:paraId="46E29C9E">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bCs/>
          <w:i w:val="0"/>
          <w:iCs w:val="0"/>
          <w:color w:val="auto"/>
          <w:sz w:val="24"/>
          <w:szCs w:val="24"/>
        </w:rPr>
        <w:t>Featured New Capability: AI-Assisted Analytics &amp; Risk Report</w:t>
      </w:r>
    </w:p>
    <w:p w14:paraId="3129F70C">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As part of this training rollout, EasyFlow-L introduces a new facility-level report (accessible to Admin/HRIO/Pharmacist/Clinician roles under Reports Management) that uses the facility's own historical data to support retention planning:</w:t>
      </w:r>
    </w:p>
    <w:p w14:paraId="3A1D84A8">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Client induction trend over the last 12 months, disaggregated by sex</w:t>
      </w:r>
    </w:p>
    <w:p w14:paraId="5B4BDEC3">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Status-change trend over the last 12 months (LTFU, Defaulted, Weaned, Stopped, Transferred-out, Dead)</w:t>
      </w:r>
    </w:p>
    <w:p w14:paraId="07A3A53D">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LTFU analysis by age group, dosage band, sex, and time-in-programme (identifying the treatment window where LTFU risk is highest)</w:t>
      </w:r>
    </w:p>
    <w:p w14:paraId="575BDCBC">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transparent, statistical “risk estimator” for a new induction that blends the outcomes of similar historical clients at the same facility with the facility-wide average, to estimate: likelihood of defaulting, likelihood of becoming LTFU, and expected time to being weaned off treatment</w:t>
      </w:r>
    </w:p>
    <w:p w14:paraId="1936160F">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The estimator is explicitly a decision-support aid — not a clinical diagnosis — and this is stated on-screen; Day 4 of the training includes guided practice interpreting its output correctly and using it to prioritise retention follow-up (e.g. peer educator outreach) rather than to make unilateral clinical decisions.</w:t>
      </w:r>
    </w:p>
    <w:p w14:paraId="2E35982B">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7. Participant &amp; Facility Requirements</w:t>
      </w:r>
    </w:p>
    <w:p w14:paraId="699E581F">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Each participant to bring a personal or facility laptop (Windows 10/11 or equivalent, Chrome/Edge/Firefox browser, minimum 4GB RAM) for the hands-on sessions.</w:t>
      </w:r>
    </w:p>
    <w:p w14:paraId="7CB524BA">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Each participating pharmacy team to bring their facility's dispensing pump (and calibration accessories) where the facility already uses pump-assisted dispensing, for the Day 2 practical.</w:t>
      </w:r>
    </w:p>
    <w:p w14:paraId="488E3E65">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Training venue with reliable power (extension cables/power strips for laptops), and either venue Wi-Fi or a mobile hotspot/router as backup (the system is designed to work offline, but a shared training/demo database benefits from local network connectivity).</w:t>
      </w:r>
    </w:p>
    <w:p w14:paraId="20BA3F51">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Printed SOPs/quick-reference job aids per module (see Training Manual annexes).</w:t>
      </w:r>
    </w:p>
    <w:p w14:paraId="10DEFDA4">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projector/screen for facilitator demonstration.</w:t>
      </w:r>
    </w:p>
    <w:p w14:paraId="2BC645EF">
      <w:pPr>
        <w:pStyle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Expected Outcomes</w:t>
      </w:r>
    </w:p>
    <w:p w14:paraId="5A8CBC52">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All participating facilities have at least one competent user per module/cadre able to operate EasyFlow-L independently.</w:t>
      </w:r>
    </w:p>
    <w:p w14:paraId="2AFED6A5">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Improved completeness and timeliness of monthly MOH/KHIS reporting from trained facilities.</w:t>
      </w:r>
    </w:p>
    <w:p w14:paraId="0894A009">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Facility teams able to identify and act on LTFU risk earlier, using the new analytics/risk report.</w:t>
      </w:r>
    </w:p>
    <w:p w14:paraId="7F975997">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pool of certified facility “super-users” able to mentor new staff and troubleshoot routine issues, reducing dependency on central technical support.</w:t>
      </w:r>
    </w:p>
    <w:p w14:paraId="27B20E5B">
      <w:pPr>
        <w:pStyle w:val="2"/>
        <w:rPr>
          <w:rFonts w:hint="default" w:ascii="Times New Roman" w:hAnsi="Times New Roman" w:cs="Times New Roman"/>
          <w:b w:val="0"/>
          <w:bCs w:val="0"/>
          <w:i w:val="0"/>
          <w:iCs w:val="0"/>
          <w:color w:val="auto"/>
          <w:sz w:val="24"/>
          <w:szCs w:val="24"/>
        </w:rPr>
      </w:pPr>
      <w:r>
        <w:rPr>
          <w:rFonts w:hint="default" w:ascii="Times New Roman" w:hAnsi="Times New Roman" w:cs="Times New Roman"/>
          <w:b/>
          <w:bCs/>
          <w:i w:val="0"/>
          <w:iCs w:val="0"/>
          <w:color w:val="auto"/>
          <w:sz w:val="24"/>
          <w:szCs w:val="24"/>
        </w:rPr>
        <w:t>Monitoring and Evaluation</w:t>
      </w:r>
    </w:p>
    <w:p w14:paraId="5CA773A8">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Pre-test and post-test (knowledge) administered Day 1 and Day 5.</w:t>
      </w:r>
    </w:p>
    <w:p w14:paraId="6F3447AC">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Daily practical checklists signed off by facilitators per module.</w:t>
      </w:r>
    </w:p>
    <w:p w14:paraId="78BF32D6">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Final practical assessment: each participant independently generates the monthly report bundle (including the AI-Assisted Analytics &amp; Risk Report) from the training database.</w:t>
      </w:r>
    </w:p>
    <w:p w14:paraId="5B94F278">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Participant satisfaction/feedback form on Day 5.</w:t>
      </w:r>
    </w:p>
    <w:p w14:paraId="1A301F8B">
      <w:pPr>
        <w:pStyle w:val="16"/>
        <w:numPr>
          <w:ilvl w:val="0"/>
          <w:numId w:val="3"/>
        </w:numPr>
        <w:spacing w:after="8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30/60/90-day post-training follow-up on report submission timeliness at participating facilities (led by HRIO/NASCOP M&amp;E</w:t>
      </w:r>
      <w:r>
        <w:rPr>
          <w:rFonts w:hint="default" w:ascii="Times New Roman" w:hAnsi="Times New Roman" w:cs="Times New Roman"/>
          <w:b w:val="0"/>
          <w:bCs w:val="0"/>
          <w:i w:val="0"/>
          <w:iCs w:val="0"/>
          <w:color w:val="auto"/>
          <w:sz w:val="24"/>
          <w:szCs w:val="24"/>
          <w:lang w:val="en-US"/>
        </w:rPr>
        <w:t>/NASCOP Pharmacy lead</w:t>
      </w:r>
      <w:bookmarkStart w:id="0" w:name="_GoBack"/>
      <w:bookmarkEnd w:id="0"/>
      <w:r>
        <w:rPr>
          <w:rFonts w:hint="default" w:ascii="Times New Roman" w:hAnsi="Times New Roman" w:cs="Times New Roman"/>
          <w:b w:val="0"/>
          <w:bCs w:val="0"/>
          <w:i w:val="0"/>
          <w:iCs w:val="0"/>
          <w:color w:val="auto"/>
          <w:sz w:val="24"/>
          <w:szCs w:val="24"/>
        </w:rPr>
        <w:t>).</w:t>
      </w:r>
    </w:p>
    <w:p w14:paraId="10990DFD">
      <w:pPr>
        <w:pStyle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Budget Summary</w:t>
      </w:r>
    </w:p>
    <w:p w14:paraId="0365681E">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A detailed, itemised budget — built against current Salaries and Remuneration Commission (SRC) subsistence/travel allowance circulars — is provided as an annex to the accompanying Training Manual, to support NASCOP's fund allocation and approval process. The budget covers facilitation, participant travel and subsistence, venue and conferencing, training materials, connectivity, and a contingency line, and should be validated against the SRC circular current at the time of implementation before submission for approval.</w:t>
      </w:r>
    </w:p>
    <w:p w14:paraId="0BE776B2">
      <w:pPr>
        <w:pStyle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Conclusion</w:t>
      </w:r>
    </w:p>
    <w:p w14:paraId="6679BDCF">
      <w:pPr>
        <w:spacing w:after="160"/>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This training operationalises EasyFlow-L as the standard MAT client-management tool across participating facilities and strengthens the MAT programme's data pipeline into KHIS. NASCOP's support in allocating funds for this 5-day, multidisciplinary training will directly improve client retention monitoring, data quality for national reporting, and frontline teams' ability to act early on clients at risk of LTFU or default.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F9DEB">
    <w:pP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91B21">
    <w:pPr>
      <w:tabs>
        <w:tab w:val="right" w:pos="9026"/>
      </w:tabs>
    </w:pPr>
    <w:r>
      <w:rPr>
        <w:color w:val="666666"/>
        <w:sz w:val="18"/>
        <w:szCs w:val="18"/>
      </w:rPr>
      <w:t>Ministry of Health / NASCOP</w:t>
    </w:r>
    <w:r>
      <w:rPr>
        <w:color w:val="666666"/>
        <w:sz w:val="18"/>
        <w:szCs w:val="18"/>
      </w:rPr>
      <w:tab/>
      <w:t>EasyFlow-L MAT Training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39FD8"/>
    <w:multiLevelType w:val="singleLevel"/>
    <w:tmpl w:val="22B39FD8"/>
    <w:lvl w:ilvl="0" w:tentative="0">
      <w:start w:val="1"/>
      <w:numFmt w:val="decimal"/>
      <w:lvlText w:val="%1."/>
      <w:lvlJc w:val="left"/>
      <w:pPr>
        <w:tabs>
          <w:tab w:val="left" w:pos="425"/>
        </w:tabs>
        <w:ind w:left="425" w:leftChars="0" w:hanging="425" w:firstLineChars="0"/>
      </w:pPr>
      <w:rPr>
        <w:rFonts w:hint="default"/>
      </w:rPr>
    </w:lvl>
  </w:abstractNum>
  <w:abstractNum w:abstractNumId="1">
    <w:nsid w:val="5911A2C0"/>
    <w:multiLevelType w:val="singleLevel"/>
    <w:tmpl w:val="5911A2C0"/>
    <w:lvl w:ilvl="0" w:tentative="0">
      <w:start w:val="1"/>
      <w:numFmt w:val="bullet"/>
      <w:lvlText w:val=""/>
      <w:lvlJc w:val="left"/>
      <w:pPr>
        <w:tabs>
          <w:tab w:val="left" w:pos="420"/>
        </w:tabs>
        <w:ind w:left="420" w:leftChars="0" w:hanging="420" w:firstLineChars="0"/>
      </w:pPr>
      <w:rPr>
        <w:rFonts w:hint="default" w:ascii="Wingdings" w:hAnsi="Wingdings"/>
        <w:b w:val="0"/>
        <w:bCs w:val="0"/>
      </w:rPr>
    </w:lvl>
  </w:abstractNum>
  <w:abstractNum w:abstractNumId="2">
    <w:nsid w:val="59ADCABA"/>
    <w:multiLevelType w:val="singleLevel"/>
    <w:tmpl w:val="59ADCABA"/>
    <w:lvl w:ilvl="0" w:tentative="0">
      <w:start w:val="1"/>
      <w:numFmt w:val="bullet"/>
      <w:lvlText w:val="•"/>
      <w:lvlJc w:val="left"/>
      <w:pPr>
        <w:ind w:left="720" w:hanging="360"/>
      </w:pPr>
    </w:lvl>
  </w:abstractNum>
  <w:num w:numId="1">
    <w:abstractNumId w:val="0"/>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AB66A60"/>
    <w:rsid w:val="675418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0A1172" w:sz="6" w:space="4"/>
      </w:pBdr>
      <w:spacing w:before="320" w:after="160"/>
      <w:outlineLvl w:val="0"/>
    </w:pPr>
    <w:rPr>
      <w:rFonts w:ascii="Arial" w:hAnsi="Arial" w:eastAsia="Arial" w:cs="Arial"/>
      <w:b/>
      <w:bCs/>
      <w:color w:val="0A1172"/>
      <w:sz w:val="30"/>
      <w:szCs w:val="30"/>
    </w:rPr>
  </w:style>
  <w:style w:type="paragraph" w:styleId="3">
    <w:name w:val="heading 2"/>
    <w:next w:val="1"/>
    <w:qFormat/>
    <w:uiPriority w:val="0"/>
    <w:pPr>
      <w:spacing w:before="220" w:after="120"/>
      <w:outlineLvl w:val="1"/>
    </w:pPr>
    <w:rPr>
      <w:rFonts w:ascii="Arial" w:hAnsi="Arial" w:eastAsia="Arial" w:cs="Arial"/>
      <w:b/>
      <w:bCs/>
      <w:color w:val="1F3864"/>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1491</Words>
  <Characters>9802</Characters>
  <TotalTime>12</TotalTime>
  <ScaleCrop>false</ScaleCrop>
  <LinksUpToDate>false</LinksUpToDate>
  <CharactersWithSpaces>11203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2026-07-01T20:48:00Z</dcterms:created>
  <dc:creator>Un-named</dc:creator>
  <cp:lastModifiedBy>Lyani Sitti</cp:lastModifiedBy>
  <dcterms:modified xsi:type="dcterms:W3CDTF">2026-07-01T21:05:16Z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eyJoZGlkIjoiMWQzMzM4NDIxODhlNGQxNDgwMGJjNzRkNDZmZTNkYjAifQ==</vt:lpwstr>
  </property>
  <property fmtid="{D5CDD505-2E9C-101B-9397-08002B2CF9AE}" pid="3" name="KSOProductBuildVer">
    <vt:lpwstr>1033-12.1.0.26880</vt:lpwstr>
  </property>
  <property fmtid="{D5CDD505-2E9C-101B-9397-08002B2CF9AE}" pid="4" name="ICV">
    <vt:lpwstr>5EC63C004A6F42FA9D773B0F8D6884BA_12</vt:lpwstr>
  </property>
</Properties>
</file>