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500"/>
        <w:jc w:val="center"/>
      </w:pPr>
      <w:r>
        <w:rPr>
          <w:b/>
          <w:bCs/>
          <w:color w:val="0A1172"/>
          <w:sz w:val="30"/>
          <w:szCs w:val="30"/>
        </w:rPr>
        <w:t xml:space="preserve">TRAINING MANUAL</w:t>
      </w:r>
    </w:p>
    <w:p>
      <w:pPr>
        <w:spacing w:after="100"/>
        <w:jc w:val="center"/>
      </w:pPr>
      <w:r>
        <w:rPr>
          <w:sz w:val="24"/>
          <w:szCs w:val="24"/>
        </w:rPr>
        <w:t xml:space="preserve">Five (5)-Day Facilitator &amp; Participant Guide</w:t>
      </w:r>
    </w:p>
    <w:p>
      <w:pPr>
        <w:spacing w:after="100"/>
        <w:jc w:val="center"/>
      </w:pPr>
      <w:r>
        <w:rPr>
          <w:b/>
          <w:bCs/>
          <w:color w:val="0A1172"/>
          <w:sz w:val="26"/>
          <w:szCs w:val="26"/>
        </w:rPr>
        <w:t xml:space="preserve">EasyFlow-L Integrated MAT Client Management System (IORPMS)</w:t>
      </w:r>
    </w:p>
    <w:p>
      <w:pPr>
        <w:spacing w:after="300"/>
        <w:jc w:val="center"/>
      </w:pPr>
      <w:r>
        <w:rPr>
          <w:i/>
          <w:iCs/>
          <w:sz w:val="22"/>
          <w:szCs w:val="22"/>
        </w:rPr>
        <w:t xml:space="preserve">Including Logistics &amp; Budget Annex for NASCOP Fund Allocation</w:t>
      </w:r>
    </w:p>
    <w:p>
      <w:pPr>
        <w:spacing w:after="400"/>
        <w:jc w:val="center"/>
      </w:pPr>
      <w:r>
        <w:rPr>
          <w:sz w:val="20"/>
          <w:szCs w:val="20"/>
        </w:rPr>
        <w:t xml:space="preserve">July 2026</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Purpose of This Manual</w:t>
      </w:r>
    </w:p>
    <w:p>
      <w:pPr>
        <w:spacing w:after="160"/>
      </w:pPr>
      <w:r>
        <w:t xml:space="preserve">This manual operationalises the accompanying Concept Note into a facilitator- and participant-ready guide, and provides the costed logistics annex NASCOP's finance and programme teams need to allocate funds and approve the training. It should be read together with the Concept Note (objectives, rationale, participant cadres) and is organised in four parts:</w:t>
      </w:r>
    </w:p>
    <w:p>
      <w:pPr>
        <w:pStyle w:val="ListParagraph"/>
        <w:numPr>
          <w:ilvl w:val="0"/>
          <w:numId w:val="2"/>
        </w:numPr>
        <w:spacing w:after="80"/>
      </w:pPr>
      <w:r>
        <w:t xml:space="preserve">System &amp; role overview</w:t>
      </w:r>
    </w:p>
    <w:p>
      <w:pPr>
        <w:pStyle w:val="ListParagraph"/>
        <w:numPr>
          <w:ilvl w:val="0"/>
          <w:numId w:val="2"/>
        </w:numPr>
        <w:spacing w:after="80"/>
      </w:pPr>
      <w:r>
        <w:t xml:space="preserve">Day-by-day facilitator/participant guide (sessions, timing, practical exercises)</w:t>
      </w:r>
    </w:p>
    <w:p>
      <w:pPr>
        <w:pStyle w:val="ListParagraph"/>
        <w:numPr>
          <w:ilvl w:val="0"/>
          <w:numId w:val="2"/>
        </w:numPr>
        <w:spacing w:after="80"/>
      </w:pPr>
      <w:r>
        <w:t xml:space="preserve">Assessment tools (pre/post-test and practical rubric)</w:t>
      </w:r>
    </w:p>
    <w:p>
      <w:pPr>
        <w:pStyle w:val="ListParagraph"/>
        <w:numPr>
          <w:ilvl w:val="0"/>
          <w:numId w:val="2"/>
        </w:numPr>
        <w:spacing w:after="80"/>
      </w:pPr>
      <w:r>
        <w:t xml:space="preserve">Logistics &amp; Budget Annex for NASCOP costing</w:t>
      </w:r>
    </w:p>
    <w:p>
      <w:pPr>
        <w:pStyle w:val="Heading1"/>
      </w:pPr>
      <w:r>
        <w:t xml:space="preserve">Part A: System &amp; Role Overview</w:t>
      </w:r>
    </w:p>
    <w:p>
      <w:pPr>
        <w:spacing w:after="160"/>
      </w:pPr>
      <w:r>
        <w:t xml:space="preserve">EasyFlow-L organises work into role-based modules. The table below maps each cadre to the modules they primarily use, so facilitators can group practical exercises by cadre while still walking the whole team through the shared client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Cadre / Role</w:t>
            </w:r>
          </w:p>
        </w:tc>
        <w:tc>
          <w:tcPr>
            <w:tcW w:type="dxa" w:w="69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Primary EasyFlow-L Modules</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Super Admin / Admin</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Administration, user &amp; role management, back-up &amp; refresh, all reports</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Receptionist / Records</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Patient registration, appointments, health records</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Clinician</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Clinical encounters, induction/prescribing, referrals, reports</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Nursing</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Clinical/nursing encounters, vitals, follow-up</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Psychiatrist / Psychologist</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Psychosocial intake &amp; follow-up, PHQ-9/GAD-7, psychiatric encounters</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Pharmacist</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Stock/inventory, dispensing (manual &amp; pump), calibration, pharmacovigilance</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Laboratory Scientist</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Laboratory results, toxicology results</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Peer Educator</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Daily roll call/check-ins, retention/community follow-up</w:t>
            </w:r>
          </w:p>
        </w:tc>
      </w:tr>
      <w:tr>
        <w:tc>
          <w:tcPr>
            <w:tcW w:type="dxa" w:w="24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HRIO / Data Manager</w:t>
            </w:r>
          </w:p>
        </w:tc>
        <w:tc>
          <w:tcPr>
            <w:tcW w:type="dxa" w:w="69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Reports Management (MOH 731 Plus-6, P-series forms, daily summaries), AI-Assisted Analytics &amp; Risk Report, KHIS submission</w:t>
            </w:r>
          </w:p>
        </w:tc>
      </w:tr>
    </w:tbl>
    <w:p>
      <w:pPr>
        <w:spacing w:after="160"/>
      </w:pPr>
      <w:r>
        <w:t xml:space="preserve"/>
      </w:r>
    </w:p>
    <w:p>
      <w:pPr>
        <w:spacing w:after="160"/>
      </w:pPr>
      <w:r>
        <w:t xml:space="preserve">All cadres attend all five days together; Days 1–3 include cadre-specific hands-on blocks run in parallel small groups (facilitated by a co-facilitator per module), and Days 4–5 reassemble the whole facility team around shared reporting and simulation exercises.</w:t>
      </w:r>
    </w:p>
    <w:p>
      <w:pPr>
        <w:pStyle w:val="Heading1"/>
      </w:pPr>
      <w:r>
        <w:t xml:space="preserve">Part B: Day-by-Day Facilitator &amp; Participant Guide</w:t>
      </w:r>
    </w:p>
    <w:p>
      <w:pPr>
        <w:spacing w:after="160"/>
      </w:pPr>
      <w:r>
        <w:t xml:space="preserve">Each day runs 08:30–17:00 (with a 30-minute tea break mid-morning/mid-afternoon and a 1-hour lunch break, not separately itemised below). Facilitators should adjust timing to cohort size and connectivity conditions on the day.</w:t>
      </w:r>
    </w:p>
    <w:p>
      <w:pPr>
        <w:pStyle w:val="Heading2"/>
      </w:pPr>
      <w:r>
        <w:t xml:space="preserve">Day 1 — Orientation, Registration &amp; Client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Time</w:t>
            </w:r>
          </w:p>
        </w:tc>
        <w:tc>
          <w:tcPr>
            <w:tcW w:type="dxa" w:w="26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Session / Module</w:t>
            </w:r>
          </w:p>
        </w:tc>
        <w:tc>
          <w:tcPr>
            <w:tcW w:type="dxa" w:w="54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Facilitator Notes &amp; Practical Exercise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08:30–09:15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Welcome, introductions, pre-test</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Administer written pre-test before any system content is taught, to baseline knowledge.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09:15–10:30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System overview &amp; roles</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Walk through role-based dashboard, login, and the modules each cadre will use. Demonstrate offline/multilingual (EN/FR/PT) switch.</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10:45–12:30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Patient registration &amp; client consents</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each participant registers one mock client (add_clients) and captures a consent record.</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13:30–15:15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Induction &amp; psychosocial intake</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complete induction workflow and psychosocial intake form (Form P1a/1b style) for the mock client registered in the morning.</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15:30–16:45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Status &amp; appointments basics</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Introduce current_status values (Active, LTFU, Defaulted, Stopped, Transit, Transout, Dead, Weaned, Voluntary Discontinuation) and how status history is recorded; set a next appointment.</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16:45–17:00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Day 1 checklist sign-off</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Facilitator confirms each participant's mock client is correctly registered and inducted before Day 2.</w:t>
            </w:r>
          </w:p>
        </w:tc>
      </w:tr>
    </w:tbl>
    <w:p>
      <w:pPr>
        <w:spacing w:after="160"/>
      </w:pPr>
      <w:r>
        <w:t xml:space="preserve"/>
      </w:r>
    </w:p>
    <w:p>
      <w:pPr>
        <w:pStyle w:val="Heading2"/>
      </w:pPr>
      <w:r>
        <w:t xml:space="preserve">Day 2 — Pharmacy, Dispensing &amp; Pump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Time</w:t>
            </w:r>
          </w:p>
        </w:tc>
        <w:tc>
          <w:tcPr>
            <w:tcW w:type="dxa" w:w="26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Session / Module</w:t>
            </w:r>
          </w:p>
        </w:tc>
        <w:tc>
          <w:tcPr>
            <w:tcW w:type="dxa" w:w="54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Facilitator Notes &amp; Practical Exercise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08:30–09:30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Pharmacy module overview</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Stock/inventory, drug categories &amp; formulations, opening balances.</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09:30–10:30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Pump set-up &amp; calibration</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with participants' own facility pumps: calibration factor &amp; concentration entry, test dispense. (Requires each pharmacy team's pump.)</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10:45–12:30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Manual &amp; pump-assisted dispensing</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dispense to the mock client from Day 1 using both the manual and pump workflows; record dosage.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13:30–15:00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Co-medications &amp; special dispensing</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ARV/anti-TB co-medication auto-dispense panel; take-away doses; retrospective/missed-dose dispensing.</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15:15–16:45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Prison &amp; transit sequential dispensing</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process a sequential/backdated dispensing run for a mock inmate/transit client.</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16:45–17:00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Day 2 checklist sign-off</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Confirm each pharmacy participant has completed a calibration, a normal dispense, and a sequential dispense.</w:t>
            </w:r>
          </w:p>
        </w:tc>
      </w:tr>
    </w:tbl>
    <w:p>
      <w:pPr>
        <w:spacing w:after="160"/>
      </w:pPr>
      <w:r>
        <w:t xml:space="preserve"/>
      </w:r>
    </w:p>
    <w:p>
      <w:pPr>
        <w:pStyle w:val="Heading2"/>
      </w:pPr>
      <w:r>
        <w:t xml:space="preserve">Day 3 — Clinical &amp; Support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Time</w:t>
            </w:r>
          </w:p>
        </w:tc>
        <w:tc>
          <w:tcPr>
            <w:tcW w:type="dxa" w:w="26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Session / Module</w:t>
            </w:r>
          </w:p>
        </w:tc>
        <w:tc>
          <w:tcPr>
            <w:tcW w:type="dxa" w:w="54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Facilitator Notes &amp; Practical Exercise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08:30–10:00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Clinical encounters</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Clinician/nursing hands-on: record a clinical encounter and medical history for the mock client.</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10:15–11:30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Laboratory &amp; toxicology</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enter a toxicology/laboratory result and view results history.</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11:30–12:30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Pharmacovigilance</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log an adverse drug event/reaction and route it for review.</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13:30–14:45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Psychosocial follow-up &amp; assessments</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PHQ-9/GAD-7 assessment entry and a follow-up psychosocial note.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15:00–16:15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Referrals, biometrics &amp; linkage</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create a referral, enrol a fingerprint/biometric record, and record a linkage-service note.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16:15–17:00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Day 3 checklist sign-off</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Confirm the mock client now has a complete cross-module record spanning clinical, lab, pharmacovigilance, psychosocial and referral data.</w:t>
            </w:r>
          </w:p>
        </w:tc>
      </w:tr>
    </w:tbl>
    <w:p>
      <w:pPr>
        <w:spacing w:after="160"/>
      </w:pPr>
      <w:r>
        <w:t xml:space="preserve"/>
      </w:r>
    </w:p>
    <w:p>
      <w:pPr>
        <w:pStyle w:val="Heading2"/>
      </w:pPr>
      <w:r>
        <w:t xml:space="preserve">Day 4 — Reporting, Analytics &amp; KHIS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Time</w:t>
            </w:r>
          </w:p>
        </w:tc>
        <w:tc>
          <w:tcPr>
            <w:tcW w:type="dxa" w:w="26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Session / Module</w:t>
            </w:r>
          </w:p>
        </w:tc>
        <w:tc>
          <w:tcPr>
            <w:tcW w:type="dxa" w:w="54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Facilitator Notes &amp; Practical Exercise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08:30–09:45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Daily summaries &amp; core P-forms</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generate Daily Summary (Methadone/Buprenorphine) and Form P5/P7/P8 for the training date range.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10:00–11:00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MOH 731 Plus-6 &amp; Form 3C</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generate MOH 731 Plus-6 and the Form 3C patient treatment card for the mock client.</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11:15–12:30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AI-Assisted Analytics &amp; Risk Report</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open the new report; read induction &amp; status-change trends; interpret LTFU-by-age/dosage/sex/time-in-programme tables; run the New Induction Risk Estimator for a mock client profile and correctly explain what the Low/Moderate/High bands mean (decision support, not diagnosis).</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13:30–14:45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Status-change, transfer &amp; consent reports</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Hands-on: generate the status-change, transfer, and consent reports for the training period.</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15:00–16:30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KHIS monthly submission workflow</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Walk through the facility's KHIS monthly reporting checklist: which EasyFlow-L reports map to which KHIS data-entry fields, review/verification step before submission, and who signs off (HRIO).</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16:30–17:00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Day 4 checklist sign-off</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Confirm each HRIO/Data Manager participant has produced a complete, internally consistent monthly report bundle.</w:t>
            </w:r>
          </w:p>
        </w:tc>
      </w:tr>
    </w:tbl>
    <w:p>
      <w:pPr>
        <w:spacing w:after="160"/>
      </w:pPr>
      <w:r>
        <w:t xml:space="preserve"/>
      </w:r>
    </w:p>
    <w:p>
      <w:pPr>
        <w:pStyle w:val="Heading2"/>
      </w:pPr>
      <w:r>
        <w:t xml:space="preserve">Day 5 — Integrated Simulation, Assessment &amp; Close-Out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60"/>
      </w:tblGrid>
      <w:tr>
        <w:trPr>
          <w:tblHeader/>
        </w:trPr>
        <w:tc>
          <w:tcPr>
            <w:tcW w:type="dxa" w:w="13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Time</w:t>
            </w:r>
          </w:p>
        </w:tc>
        <w:tc>
          <w:tcPr>
            <w:tcW w:type="dxa" w:w="26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Session / Module</w:t>
            </w:r>
          </w:p>
        </w:tc>
        <w:tc>
          <w:tcPr>
            <w:tcW w:type="dxa" w:w="54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Facilitator Notes &amp; Practical Exercise</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08:30–10:30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Integrated simulation</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Whole-team simulation: a full mock "month" of facility operation from registration through dispensing to reporting, run as a relay across cadres.</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10:45–11:30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Data back-up &amp; security refresher</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Back-up/restore procedure, password/session hygiene, safeguarding client data (paper + electronic).</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11:30–12:30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Troubleshooting clinic</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Open floor for facility-specific questions/issues; facilitators triage into "solved on the spot" vs "log for central support".</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13:30–15:00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Practical assessment</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Each participant independently generates the full monthly report bundle (incl. AI-Assisted Analytics &amp; Risk Report) from their own mock data, scored against the rubric in Part C.</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15:00–15:45</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Post-test</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Written post-test; compare to Day 1 pre-test for the training report.</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15:45–16:30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Facility action planning</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Each facility team drafts a one-page action plan: who will be the facility super-user per module, and the date of first independent KHIS submission using EasyFlow-L reports.</w:t>
            </w:r>
          </w:p>
        </w:tc>
      </w:tr>
      <w:tr>
        <w:tc>
          <w:tcPr>
            <w:tcW w:type="dxa" w:w="13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16:30–17:00</w:t>
            </w:r>
          </w:p>
        </w:tc>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sz w:val="18"/>
                <w:szCs w:val="18"/>
              </w:rPr>
              <w:t xml:space="preserve">Certification &amp; closing</w:t>
            </w:r>
          </w:p>
        </w:tc>
        <w:tc>
          <w:tcPr>
            <w:tcW w:type="dxa" w:w="54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Certificates issued to participants who pass the practical assessment and post-test.</w:t>
            </w:r>
          </w:p>
        </w:tc>
      </w:tr>
    </w:tbl>
    <w:p>
      <w:pPr>
        <w:spacing w:after="160"/>
      </w:pPr>
      <w:r>
        <w:t xml:space="preserve"/>
      </w:r>
    </w:p>
    <w:p>
      <w:pPr>
        <w:pStyle w:val="Heading1"/>
      </w:pPr>
      <w:r>
        <w:t xml:space="preserve">Part C: Assessment Tools</w:t>
      </w:r>
    </w:p>
    <w:p>
      <w:pPr>
        <w:pStyle w:val="Heading2"/>
      </w:pPr>
      <w:r>
        <w:t xml:space="preserve">Practical Assessment Rubric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Task</w:t>
            </w:r>
          </w:p>
        </w:tc>
        <w:tc>
          <w:tcPr>
            <w:tcW w:type="dxa" w:w="20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Max Score</w:t>
            </w:r>
          </w:p>
        </w:tc>
        <w:tc>
          <w:tcPr>
            <w:tcW w:type="dxa" w:w="20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Pass Mark</w:t>
            </w:r>
          </w:p>
        </w:tc>
      </w:tr>
      <w:tr>
        <w:tc>
          <w:tcPr>
            <w:tcW w:type="dxa" w:w="5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Register &amp; induct a client with complete required fields</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7</w:t>
            </w:r>
          </w:p>
        </w:tc>
      </w:tr>
      <w:tr>
        <w:tc>
          <w:tcPr>
            <w:tcW w:type="dxa" w:w="5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Correctly dispense (manual) and record dosage</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7</w:t>
            </w:r>
          </w:p>
        </w:tc>
      </w:tr>
      <w:tr>
        <w:tc>
          <w:tcPr>
            <w:tcW w:type="dxa" w:w="5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Correctly calibrate and use pump for a dispense</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7</w:t>
            </w:r>
          </w:p>
        </w:tc>
      </w:tr>
      <w:tr>
        <w:tc>
          <w:tcPr>
            <w:tcW w:type="dxa" w:w="5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Record a clinical/lab/pharmacovigilance entry</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10</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7</w:t>
            </w:r>
          </w:p>
        </w:tc>
      </w:tr>
      <w:tr>
        <w:tc>
          <w:tcPr>
            <w:tcW w:type="dxa" w:w="5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Generate Daily Summary, MOH 731 Plus-6 and Form 3C</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15</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10</w:t>
            </w:r>
          </w:p>
        </w:tc>
      </w:tr>
      <w:tr>
        <w:tc>
          <w:tcPr>
            <w:tcW w:type="dxa" w:w="5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Generate AI-Assisted Analytics &amp; Risk Report and correctly interpret one LTFU finding and one risk-estimator result</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15</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10</w:t>
            </w:r>
          </w:p>
        </w:tc>
      </w:tr>
      <w:tr>
        <w:tc>
          <w:tcPr>
            <w:tcW w:type="dxa" w:w="5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Complete the KHIS submission checklist correctly</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15</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10</w:t>
            </w:r>
          </w:p>
        </w:tc>
      </w:tr>
      <w:tr>
        <w:tc>
          <w:tcPr>
            <w:tcW w:type="dxa" w:w="5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Written post-test score</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15</w:t>
            </w:r>
          </w:p>
        </w:tc>
        <w:tc>
          <w:tcPr>
            <w:tcW w:type="dxa" w:w="20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10</w:t>
            </w:r>
          </w:p>
        </w:tc>
      </w:tr>
    </w:tbl>
    <w:p>
      <w:pPr>
        <w:spacing w:after="160"/>
      </w:pPr>
      <w:r>
        <w:t xml:space="preserve"/>
      </w:r>
    </w:p>
    <w:p>
      <w:pPr>
        <w:spacing w:after="160"/>
      </w:pPr>
      <w:r>
        <w:t xml:space="preserve">Overall pass mark: 70/100. Participants scoring below this on the first attempt should receive a supervised re-assessment within two weeks, supported remotely by the EasyFlow-L technical team.</w:t>
      </w:r>
    </w:p>
    <w:p>
      <w:pPr>
        <w:pStyle w:val="Heading1"/>
      </w:pPr>
      <w:r>
        <w:t xml:space="preserve">Part D: Participant &amp; Facility Requirements</w:t>
      </w:r>
    </w:p>
    <w:p>
      <w:pPr>
        <w:pStyle w:val="Heading3"/>
        <w:spacing w:after="80" w:before="160"/>
      </w:pPr>
      <w:r>
        <w:rPr>
          <w:b/>
          <w:bCs/>
          <w:color w:val="333333"/>
          <w:sz w:val="22"/>
          <w:szCs w:val="22"/>
        </w:rPr>
        <w:t xml:space="preserve">Participant-supplied</w:t>
      </w:r>
    </w:p>
    <w:p>
      <w:pPr>
        <w:pStyle w:val="ListParagraph"/>
        <w:numPr>
          <w:ilvl w:val="0"/>
          <w:numId w:val="3"/>
        </w:numPr>
        <w:spacing w:after="80"/>
      </w:pPr>
      <w:r>
        <w:t xml:space="preserve">A laptop (Windows 10/11 or equivalent; Chrome, Edge or Firefox; minimum 4GB RAM, any modern CPU) — one per participant is ideal; a minimum of one laptop per two participants is workable for paired exercises.</w:t>
      </w:r>
    </w:p>
    <w:p>
      <w:pPr>
        <w:pStyle w:val="ListParagraph"/>
        <w:numPr>
          <w:ilvl w:val="0"/>
          <w:numId w:val="3"/>
        </w:numPr>
        <w:spacing w:after="80"/>
      </w:pPr>
      <w:r>
        <w:t xml:space="preserve">Facility login credentials for the training/demo instance (issued in advance by the EasyFlow-L technical team).</w:t>
      </w:r>
    </w:p>
    <w:p>
      <w:pPr>
        <w:pStyle w:val="Heading3"/>
        <w:spacing w:after="80" w:before="160"/>
      </w:pPr>
      <w:r>
        <w:rPr>
          <w:b/>
          <w:bCs/>
          <w:color w:val="333333"/>
          <w:sz w:val="22"/>
          <w:szCs w:val="22"/>
        </w:rPr>
        <w:t xml:space="preserve">Facility-supplied (where applicable)</w:t>
      </w:r>
    </w:p>
    <w:p>
      <w:pPr>
        <w:pStyle w:val="ListParagraph"/>
        <w:numPr>
          <w:ilvl w:val="0"/>
          <w:numId w:val="3"/>
        </w:numPr>
        <w:spacing w:after="80"/>
      </w:pPr>
      <w:r>
        <w:t xml:space="preserve">The facility's dispensing pump and calibration accessories, for facilities that use pump-assisted dispensing (Day 2 practical).</w:t>
      </w:r>
    </w:p>
    <w:p>
      <w:pPr>
        <w:pStyle w:val="ListParagraph"/>
        <w:numPr>
          <w:ilvl w:val="0"/>
          <w:numId w:val="3"/>
        </w:numPr>
        <w:spacing w:after="80"/>
      </w:pPr>
      <w:r>
        <w:t xml:space="preserve">A nominated HRIO/Data Manager who is familiar with the facility's current KHIS submission process.</w:t>
      </w:r>
    </w:p>
    <w:p>
      <w:pPr>
        <w:pStyle w:val="Heading3"/>
        <w:spacing w:after="80" w:before="160"/>
      </w:pPr>
      <w:r>
        <w:rPr>
          <w:b/>
          <w:bCs/>
          <w:color w:val="333333"/>
          <w:sz w:val="22"/>
          <w:szCs w:val="22"/>
        </w:rPr>
        <w:t xml:space="preserve">Organiser-supplied</w:t>
      </w:r>
    </w:p>
    <w:p>
      <w:pPr>
        <w:pStyle w:val="ListParagraph"/>
        <w:numPr>
          <w:ilvl w:val="0"/>
          <w:numId w:val="3"/>
        </w:numPr>
        <w:spacing w:after="80"/>
      </w:pPr>
      <w:r>
        <w:t xml:space="preserve">Training venue with reliable power and extension cables/power strips for laptops.</w:t>
      </w:r>
    </w:p>
    <w:p>
      <w:pPr>
        <w:pStyle w:val="ListParagraph"/>
        <w:numPr>
          <w:ilvl w:val="0"/>
          <w:numId w:val="3"/>
        </w:numPr>
        <w:spacing w:after="80"/>
      </w:pPr>
      <w:r>
        <w:t xml:space="preserve">Local network (venue Wi-Fi or mobile hotspot/router) for the shared training database; note the production system is designed to run fully offline at facility level.</w:t>
      </w:r>
    </w:p>
    <w:p>
      <w:pPr>
        <w:pStyle w:val="ListParagraph"/>
        <w:numPr>
          <w:ilvl w:val="0"/>
          <w:numId w:val="3"/>
        </w:numPr>
        <w:spacing w:after="80"/>
      </w:pPr>
      <w:r>
        <w:t xml:space="preserve">Projector/screen, flipcharts, printed SOPs/job aids per module (see Annex 3).</w:t>
      </w:r>
    </w:p>
    <w:p>
      <w:pPr>
        <w:pStyle w:val="ListParagraph"/>
        <w:numPr>
          <w:ilvl w:val="0"/>
          <w:numId w:val="3"/>
        </w:numPr>
        <w:spacing w:after="80"/>
      </w:pPr>
      <w:r>
        <w:t xml:space="preserve">Printed pre-test/post-test and rubric score sheets.</w:t>
      </w:r>
    </w:p>
    <w:p>
      <w:pPr>
        <w:pStyle w:val="Heading1"/>
      </w:pPr>
      <w:r>
        <w:t xml:space="preserve">Part E: Logistics &amp; Budget Annex (for NASCOP Fund Allocation)</w:t>
      </w:r>
    </w:p>
    <w:p>
      <w:pPr>
        <w:spacing w:after="160"/>
      </w:pPr>
      <w:r>
        <w:rPr>
          <w:i w:val="false"/>
          <w:iCs w:val="false"/>
        </w:rPr>
        <w:t xml:space="preserve">This annex gives NASCOP's programme/finance teams a costable line-item structure. Quantities below are illustrative for a single cohort of 25 participants (drawn from ~8–10 facilities) plus 5 facilitators over 5 days; scale the quantities for additional cohorts/regions. Rates marked “TBC” must be confirmed against the Salaries and Remuneration Commission (SRC) circular on subsistence/travel allowances current at the time of budgeting, and against NASCOP/MOH-approved training cost norms, before this is submitted for approval — do not use the figures below as final costs.</w:t>
      </w:r>
    </w:p>
    <w:p>
      <w:pPr>
        <w:spacing w:after="160"/>
      </w:pPr>
      <w:r>
        <w:rPr>
          <w:i/>
          <w:iCs/>
          <w:color w:val="444444"/>
        </w:rPr>
        <w:t xml:space="preserve">Reference point: as of the most recent published SRC circular, government Daily Subsistence Allowance (DSA/per-diem) rates range approximately KES 4,200–22,000 per night depending on job group and geographical cluster. Confirm the exact rate per job group/cluster at src.go.ke before finalising this budget.</w:t>
      </w:r>
    </w:p>
    <w:p>
      <w:pPr>
        <w:pStyle w:val="Heading2"/>
      </w:pPr>
      <w:r>
        <w:t xml:space="preserve">Illustrative Budget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1600"/>
        <w:gridCol w:w="2360"/>
      </w:tblGrid>
      <w:tr>
        <w:trPr>
          <w:tblHeader/>
        </w:trPr>
        <w:tc>
          <w:tcPr>
            <w:tcW w:type="dxa" w:w="26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Line Item</w:t>
            </w:r>
          </w:p>
        </w:tc>
        <w:tc>
          <w:tcPr>
            <w:tcW w:type="dxa" w:w="12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Unit</w:t>
            </w:r>
          </w:p>
        </w:tc>
        <w:tc>
          <w:tcPr>
            <w:tcW w:type="dxa" w:w="16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Qty</w:t>
            </w:r>
          </w:p>
        </w:tc>
        <w:tc>
          <w:tcPr>
            <w:tcW w:type="dxa" w:w="16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Rate (KES)</w:t>
            </w:r>
          </w:p>
        </w:tc>
        <w:tc>
          <w:tcPr>
            <w:tcW w:type="dxa" w:w="23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Basis / Notes</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Facilitator honoraria/consultancy</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facilitator-day</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25 (5 facilitators x 5 days)</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Per NASCOP-approved facilitator rate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Participant DSA / per diem (non-residential) or full-board conference package (residential)</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participant-night or participant-day</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≈100–125 (25 participants x 4–5 nights/days)</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 (SRC DSA range ~4,200–22,000/night by job group/cluster)</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Confirm per-cadre job group and cluster at src.go.ke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Participant travel/transport reimbursement</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participant (round trip)</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25</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Per actual fare or SRC mileage/transport rate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Venue hire &amp; conferencing (hall, PA, projector)</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day</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5</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Market rate for chosen venue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Meals &amp; refreshments (if not bundled in DSA)</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participant-day</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125 (25 x 5)</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Only if not already covered by a residential package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Training materials (printing SOPs, job aids, certificates, stationery)</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participant</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25</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Estimate per standard MOH training materials rate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Connectivity (mobile routers/data bundles for training database access)</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router-week</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3–5</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Local vendor quote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Facilitator travel &amp; accommodation (if facilitators travel from out of region)</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facilitator</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5</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Per actual fare/SRC rate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M&amp;E: pre/post-test printing, 30/60/90-day follow-up support</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lump sum</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NASCOP M&amp;E unit estimate</w:t>
            </w:r>
          </w:p>
        </w:tc>
      </w:tr>
      <w:tr>
        <w:tc>
          <w:tcPr>
            <w:tcW w:type="dxa" w:w="2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Contingency (5–10% of subtotal)</w:t>
            </w:r>
          </w:p>
        </w:tc>
        <w:tc>
          <w:tcPr>
            <w:tcW w:type="dxa" w:w="1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lump sum</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1</w:t>
            </w:r>
          </w:p>
        </w:tc>
        <w:tc>
          <w:tcPr>
            <w:tcW w:type="dxa" w:w="16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TBC</w:t>
            </w:r>
          </w:p>
        </w:tc>
        <w:tc>
          <w:tcPr>
            <w:tcW w:type="dxa" w:w="23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sz w:val="18"/>
                <w:szCs w:val="18"/>
              </w:rPr>
              <w:t xml:space="preserve">Standard contingency provision</w:t>
            </w:r>
          </w:p>
        </w:tc>
      </w:tr>
    </w:tbl>
    <w:p>
      <w:pPr>
        <w:spacing w:after="160"/>
      </w:pPr>
      <w:r>
        <w:t xml:space="preserve"/>
      </w:r>
    </w:p>
    <w:p>
      <w:pPr>
        <w:spacing w:after="160"/>
      </w:pPr>
      <w:r>
        <w:t xml:space="preserve">Suggested approval package to accompany this table: (a) confirmed participant list by facility and job group/cadre, (b) chosen venue quotation, (c) current SRC allowance circular reference, and (d) facilitator terms of engagement. Once populated with confirmed rates, this table gives NASCOP a single-page basis to approve and disburse training funds.</w:t>
      </w:r>
    </w:p>
    <w:p>
      <w:pPr>
        <w:pStyle w:val="Heading1"/>
      </w:pPr>
      <w:r>
        <w:t xml:space="preserve">Annex 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Term</w:t>
            </w:r>
          </w:p>
        </w:tc>
        <w:tc>
          <w:tcPr>
            <w:tcW w:type="dxa" w:w="71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Meaning</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MAT</w:t>
            </w:r>
          </w:p>
        </w:tc>
        <w:tc>
          <w:tcPr>
            <w:tcW w:type="dxa" w:w="71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Medication-Assisted Therapy (opioid substitution therapy using methadone/buprenorphine)</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LTFU</w:t>
            </w:r>
          </w:p>
        </w:tc>
        <w:tc>
          <w:tcPr>
            <w:tcW w:type="dxa" w:w="71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Lost To Follow Up — a client who has defaulted for an extended period (per facility status definitions, commonly 30+ consecutive days)</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Defaulted</w:t>
            </w:r>
          </w:p>
        </w:tc>
        <w:tc>
          <w:tcPr>
            <w:tcW w:type="dxa" w:w="71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A client who has missed doses for a defined number of consecutive days (commonly 5+) short of LTFU</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KHIS</w:t>
            </w:r>
          </w:p>
        </w:tc>
        <w:tc>
          <w:tcPr>
            <w:tcW w:type="dxa" w:w="71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Kenya Health Information System — the national DHIS2-based platform to which facilities submit monthly aggregate reports</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MOH 731 Plus-6</w:t>
            </w:r>
          </w:p>
        </w:tc>
        <w:tc>
          <w:tcPr>
            <w:tcW w:type="dxa" w:w="71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Standard MOH monthly reporting tool used across HIV/MAT-related services</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HRIO</w:t>
            </w:r>
          </w:p>
        </w:tc>
        <w:tc>
          <w:tcPr>
            <w:tcW w:type="dxa" w:w="71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Health Records and Information Officer — typically the facility's KHIS submission focal person</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DSA</w:t>
            </w:r>
          </w:p>
        </w:tc>
        <w:tc>
          <w:tcPr>
            <w:tcW w:type="dxa" w:w="71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Daily Subsistence Allowance (per-diem) as set by the Salaries and Remuneration Commission (SRC)</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bCs/>
                <w:i w:val="false"/>
                <w:iCs w:val="false"/>
                <w:color w:val="000000"/>
              </w:rPr>
              <w:t xml:space="preserve">NASCOP</w:t>
            </w:r>
          </w:p>
        </w:tc>
        <w:tc>
          <w:tcPr>
            <w:tcW w:type="dxa" w:w="71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National AIDS and STI Control Programme, Ministry of Health, Kenya</w:t>
            </w:r>
          </w:p>
        </w:tc>
      </w:tr>
    </w:tbl>
    <w:p>
      <w:pPr>
        <w:spacing w:after="160"/>
      </w:pPr>
      <w:r>
        <w:t xml:space="preserve"/>
      </w:r>
    </w:p>
    <w:p>
      <w:pPr>
        <w:pStyle w:val="Heading1"/>
      </w:pPr>
      <w:r>
        <w:t xml:space="preserve">Annex 2: Sign-In Sheet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660"/>
        <w:gridCol w:w="1500"/>
      </w:tblGrid>
      <w:tr>
        <w:trPr>
          <w:tblHeader/>
        </w:trPr>
        <w:tc>
          <w:tcPr>
            <w:tcW w:type="dxa" w:w="22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Name</w:t>
            </w:r>
          </w:p>
        </w:tc>
        <w:tc>
          <w:tcPr>
            <w:tcW w:type="dxa" w:w="22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Facility</w:t>
            </w:r>
          </w:p>
        </w:tc>
        <w:tc>
          <w:tcPr>
            <w:tcW w:type="dxa" w:w="18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Cadre</w:t>
            </w:r>
          </w:p>
        </w:tc>
        <w:tc>
          <w:tcPr>
            <w:tcW w:type="dxa" w:w="166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Phone</w:t>
            </w:r>
          </w:p>
        </w:tc>
        <w:tc>
          <w:tcPr>
            <w:tcW w:type="dxa" w:w="1500"/>
            <w:tcBorders>
              <w:top w:val="single" w:color="BFBFBF" w:sz="2"/>
              <w:left w:val="single" w:color="BFBFBF" w:sz="2"/>
              <w:bottom w:val="single" w:color="BFBFBF" w:sz="2"/>
              <w:right w:val="single" w:color="BFBFBF" w:sz="2"/>
            </w:tcBorders>
            <w:shd w:fill="0A1172" w:val="clear"/>
            <w:tcMar>
              <w:top w:type="dxa" w:w="70"/>
              <w:left w:type="dxa" w:w="100"/>
              <w:bottom w:type="dxa" w:w="70"/>
              <w:right w:type="dxa" w:w="100"/>
            </w:tcMar>
          </w:tcPr>
          <w:p>
            <w:r>
              <w:rPr>
                <w:b/>
                <w:bCs/>
                <w:i w:val="false"/>
                <w:iCs w:val="false"/>
                <w:color w:val="FFFFFF"/>
                <w:sz w:val="18"/>
                <w:szCs w:val="18"/>
              </w:rPr>
              <w:t xml:space="preserve">Signature (Day 1–5)</w:t>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6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6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6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6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6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r>
      <w:tr>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22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8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66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c>
          <w:tcPr>
            <w:tcW w:type="dxa" w:w="1500"/>
            <w:tcBorders>
              <w:top w:val="single" w:color="BFBFBF" w:sz="2"/>
              <w:left w:val="single" w:color="BFBFBF" w:sz="2"/>
              <w:bottom w:val="single" w:color="BFBFBF" w:sz="2"/>
              <w:right w:val="single" w:color="BFBFBF" w:sz="2"/>
            </w:tcBorders>
            <w:tcMar>
              <w:top w:type="dxa" w:w="70"/>
              <w:left w:type="dxa" w:w="100"/>
              <w:bottom w:type="dxa" w:w="70"/>
              <w:right w:type="dxa" w:w="100"/>
            </w:tcMar>
          </w:tcPr>
          <w:p>
            <w:r>
              <w:rPr>
                <w:b w:val="false"/>
                <w:bCs w:val="false"/>
                <w:i w:val="false"/>
                <w:iCs w:val="false"/>
                <w:color w:val="000000"/>
              </w:rPr>
              <w:t xml:space="preserve"/>
            </w:r>
          </w:p>
        </w:tc>
      </w:tr>
    </w:tbl>
    <w:p>
      <w:pPr>
        <w:spacing w:after="160"/>
      </w:pPr>
      <w:r>
        <w:t xml:space="preserve"/>
      </w:r>
    </w:p>
    <w:p>
      <w:pPr>
        <w:pStyle w:val="Heading1"/>
      </w:pPr>
      <w:r>
        <w:t xml:space="preserve">Annex 3: Facility Action Plan Template</w:t>
      </w:r>
    </w:p>
    <w:p>
      <w:pPr>
        <w:pStyle w:val="ListParagraph"/>
        <w:numPr>
          <w:ilvl w:val="0"/>
          <w:numId w:val="3"/>
        </w:numPr>
        <w:spacing w:after="80"/>
      </w:pPr>
      <w:r>
        <w:t xml:space="preserve">Facility name and MFL code:</w:t>
      </w:r>
    </w:p>
    <w:p>
      <w:pPr>
        <w:pStyle w:val="ListParagraph"/>
        <w:numPr>
          <w:ilvl w:val="0"/>
          <w:numId w:val="3"/>
        </w:numPr>
        <w:spacing w:after="80"/>
      </w:pPr>
      <w:r>
        <w:t xml:space="preserve">Designated module super-users (name + cadre) per module:</w:t>
      </w:r>
    </w:p>
    <w:p>
      <w:pPr>
        <w:pStyle w:val="ListParagraph"/>
        <w:numPr>
          <w:ilvl w:val="0"/>
          <w:numId w:val="3"/>
        </w:numPr>
        <w:spacing w:after="80"/>
      </w:pPr>
      <w:r>
        <w:t xml:space="preserve">Date of first independent EasyFlow-L-based KHIS submission:</w:t>
      </w:r>
    </w:p>
    <w:p>
      <w:pPr>
        <w:pStyle w:val="ListParagraph"/>
        <w:numPr>
          <w:ilvl w:val="0"/>
          <w:numId w:val="3"/>
        </w:numPr>
        <w:spacing w:after="80"/>
      </w:pPr>
      <w:r>
        <w:t xml:space="preserve">Outstanding equipment/connectivity needs identified during training:</w:t>
      </w:r>
    </w:p>
    <w:p>
      <w:pPr>
        <w:pStyle w:val="ListParagraph"/>
        <w:numPr>
          <w:ilvl w:val="0"/>
          <w:numId w:val="3"/>
        </w:numPr>
        <w:spacing w:after="80"/>
      </w:pPr>
      <w:r>
        <w:t xml:space="preserve">Follow-up support requested (specify):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8"/>
        <w:szCs w:val="18"/>
      </w:rPr>
      <w:t xml:space="preserve">EasyFlow-L MAT Training Manual</w:t>
    </w:r>
    <w:r>
      <w:rPr>
        <w:color w:val="666666"/>
        <w:sz w:val="18"/>
        <w:szCs w:val="18"/>
      </w:rPr>
      <w:t xml:space="preserve">	For NASCOP Fund Allocation &amp; Facilitation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1172" w:sz="6" w:space="4"/>
      </w:pBdr>
      <w:spacing w:after="160" w:before="340"/>
      <w:outlineLvl w:val="0"/>
    </w:pPr>
    <w:rPr>
      <w:rFonts w:ascii="Arial" w:cs="Arial" w:eastAsia="Arial" w:hAnsi="Arial"/>
      <w:b/>
      <w:bCs/>
      <w:color w:val="0A117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2026-07-01T20:50:21.450Z</dcterms:created>
  <dcterms:modified xsi:type="dcterms:W3CDTF">2026-07-01T20:50:21.450Z</dcterms:modified>
</cp:coreProperties>
</file>

<file path=docProps/custom.xml><?xml version="1.0" encoding="utf-8"?>
<Properties xmlns="http://schemas.openxmlformats.org/officeDocument/2006/custom-properties" xmlns:vt="http://schemas.openxmlformats.org/officeDocument/2006/docPropsVTypes"/>
</file>