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iTelemetry Repo Before vs After</w:t>
      </w:r>
    </w:p>
    <w:p>
      <w:r>
        <w:t>This Word version summarizes the shift from the legacy CRCA-Services model to the iTelemetry v3 target model with clearer tables and diagram snippets.</w:t>
      </w:r>
    </w:p>
    <w:p>
      <w:r>
        <w:t>Scope: branching strategy, environments, hosting model, and folder architecture.</w:t>
      </w:r>
    </w:p>
    <w:p>
      <w:pPr>
        <w:pStyle w:val="Heading1"/>
      </w:pPr>
      <w:r>
        <w:t>Executive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D9EAF7"/>
          </w:tcPr>
          <w:p>
            <w:r/>
            <w:r>
              <w:rPr>
                <w:b/>
                <w:sz w:val="21"/>
              </w:rPr>
              <w:t>Area</w:t>
            </w:r>
          </w:p>
        </w:tc>
        <w:tc>
          <w:tcPr>
            <w:tcW w:type="dxa" w:w="2952"/>
            <w:shd w:fill="D9EAF7"/>
          </w:tcPr>
          <w:p>
            <w:r/>
            <w:r>
              <w:rPr>
                <w:b/>
                <w:sz w:val="21"/>
              </w:rPr>
              <w:t>Before</w:t>
            </w:r>
          </w:p>
        </w:tc>
        <w:tc>
          <w:tcPr>
            <w:tcW w:type="dxa" w:w="3168"/>
            <w:shd w:fill="D9EAF7"/>
          </w:tcPr>
          <w:p>
            <w:r/>
            <w:r>
              <w:rPr>
                <w:b/>
                <w:sz w:val="21"/>
              </w:rPr>
              <w:t>After</w:t>
            </w:r>
          </w:p>
        </w:tc>
        <w:tc>
          <w:tcPr>
            <w:tcW w:type="dxa" w:w="3096"/>
            <w:shd w:fill="D9EAF7"/>
          </w:tcPr>
          <w:p>
            <w:r/>
            <w:r>
              <w:rPr>
                <w:b/>
                <w:sz w:val="21"/>
              </w:rPr>
              <w:t>Why the after state is better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1"/>
              </w:rPr>
              <w:t>Branching strategy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21"/>
              </w:rPr>
              <w:t>No clearly enforced promotion model; branch usage is ad hoc.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GitLab Flow with feature branches, main, staging, production, and a helm GitOps branch.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21"/>
              </w:rPr>
              <w:t>Safer promotions, cleaner rollback, and better traceability.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1"/>
              </w:rPr>
              <w:t>Environments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21"/>
              </w:rPr>
              <w:t>Production and staging only.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Development or test, staging, and production.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21"/>
              </w:rPr>
              <w:t>Earlier validation and better isolation for change testing.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1"/>
              </w:rPr>
              <w:t>Hosting model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21"/>
              </w:rPr>
              <w:t>VM-oriented IaaS deployment.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Frontend and backend on AKS; scheduled jobs remain on VMs.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21"/>
              </w:rPr>
              <w:t>Containerized rollout, self-healing, and clearer runtime boundaries.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1"/>
              </w:rPr>
              <w:t>Repository structure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21"/>
              </w:rPr>
              <w:t>Mixed legacy layout with broader coupling.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Clear split into backend, frontend, jobs, tests, and docs.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21"/>
              </w:rPr>
              <w:t>Easier navigation, ownership, and future decomposition.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1"/>
              </w:rPr>
              <w:t>Backend architecture</w:t>
            </w:r>
          </w:p>
        </w:tc>
        <w:tc>
          <w:tcPr>
            <w:tcW w:type="dxa" w:w="2952"/>
          </w:tcPr>
          <w:p>
            <w:r/>
            <w:r>
              <w:rPr>
                <w:b w:val="0"/>
                <w:sz w:val="21"/>
              </w:rPr>
              <w:t>Route-heavy backend with logic and integrations spread broadly.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apis for HTTP, domains for logic, shared for connectors.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21"/>
              </w:rPr>
              <w:t>Lower coupling and better microservice seams.</w:t>
            </w:r>
          </w:p>
        </w:tc>
      </w:tr>
    </w:tbl>
    <w:p/>
    <w:p>
      <w:pPr>
        <w:pStyle w:val="Heading1"/>
      </w:pPr>
      <w:r>
        <w:t>1. Branching strategy</w:t>
      </w:r>
    </w:p>
    <w:p>
      <w:r>
        <w:t>The main shift is from an implicit release path to an explicit promotion path.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21"/>
              </w:rPr>
              <w:t>Before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21"/>
              </w:rPr>
              <w:t>After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No stable branch promotion model.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GitLab Flow with explicit promotion across environments.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Higher risk of direct or inconsistent releases.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Pull request and promotion-based flow.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Weak release traceability.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Exact commit promotion from main to staging to production.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Manual coordination heavy.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Repeatable deployment path tied to branch movement.</w:t>
            </w:r>
          </w:p>
        </w:tc>
      </w:tr>
    </w:tbl>
    <w:p/>
    <w:p>
      <w:pPr>
        <w:pStyle w:val="Heading3"/>
      </w:pPr>
      <w:r>
        <w:t>Before snippet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LR</w:t>
        <w:br/>
      </w:r>
      <w:r>
        <w:rPr>
          <w:rFonts w:ascii="Courier New" w:hAnsi="Courier New" w:eastAsia="Courier New"/>
          <w:color w:val="1F2937"/>
          <w:sz w:val="19"/>
        </w:rPr>
        <w:t xml:space="preserve">    Dev[Developer work] --&gt; Repo[Shared repository]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Stag[Staging]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Prod[Production]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-.-&gt; Note[No defined promotion path</w:t>
        <w:br/>
      </w:r>
      <w:r>
        <w:rPr>
          <w:rFonts w:ascii="Courier New" w:hAnsi="Courier New" w:eastAsia="Courier New"/>
          <w:color w:val="1F2937"/>
          <w:sz w:val="19"/>
        </w:rPr>
        <w:t>No enforced release gates]</w:t>
        <w:br/>
      </w:r>
    </w:p>
    <w:p>
      <w:pPr>
        <w:pStyle w:val="Heading3"/>
      </w:pPr>
      <w:r>
        <w:t>After snippet: GitLab Flow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LR</w:t>
        <w:br/>
      </w:r>
      <w:r>
        <w:rPr>
          <w:rFonts w:ascii="Courier New" w:hAnsi="Courier New" w:eastAsia="Courier New"/>
          <w:color w:val="1F2937"/>
          <w:sz w:val="19"/>
        </w:rPr>
        <w:t xml:space="preserve">    Feature[feature/*] --&gt; PR[Pull request]</w:t>
        <w:br/>
      </w:r>
      <w:r>
        <w:rPr>
          <w:rFonts w:ascii="Courier New" w:hAnsi="Courier New" w:eastAsia="Courier New"/>
          <w:color w:val="1F2937"/>
          <w:sz w:val="19"/>
        </w:rPr>
        <w:t xml:space="preserve">    PR --&gt; Main[main]</w:t>
        <w:br/>
      </w:r>
      <w:r>
        <w:rPr>
          <w:rFonts w:ascii="Courier New" w:hAnsi="Courier New" w:eastAsia="Courier New"/>
          <w:color w:val="1F2937"/>
          <w:sz w:val="19"/>
        </w:rPr>
        <w:t xml:space="preserve">    Main --&gt; Staging[staging]</w:t>
        <w:br/>
      </w:r>
      <w:r>
        <w:rPr>
          <w:rFonts w:ascii="Courier New" w:hAnsi="Courier New" w:eastAsia="Courier New"/>
          <w:color w:val="1F2937"/>
          <w:sz w:val="19"/>
        </w:rPr>
        <w:t xml:space="preserve">    Staging --&gt; Production[production]</w:t>
        <w:br/>
      </w:r>
      <w:r>
        <w:rPr>
          <w:rFonts w:ascii="Courier New" w:hAnsi="Courier New" w:eastAsia="Courier New"/>
          <w:color w:val="1F2937"/>
          <w:sz w:val="19"/>
        </w:rPr>
        <w:t xml:space="preserve">    Helm[helm branch] -. deployment manifests and image tags .-&gt; Staging</w:t>
        <w:br/>
      </w:r>
      <w:r>
        <w:rPr>
          <w:rFonts w:ascii="Courier New" w:hAnsi="Courier New" w:eastAsia="Courier New"/>
          <w:color w:val="1F2937"/>
          <w:sz w:val="19"/>
        </w:rPr>
        <w:t xml:space="preserve">    Helm[helm branch] -. deployment manifests and image tags .-&gt; Production</w:t>
        <w:br/>
      </w:r>
    </w:p>
    <w:p>
      <w:pPr>
        <w:pStyle w:val="Heading2"/>
      </w:pPr>
      <w:r>
        <w:t>Why this change matters</w:t>
      </w:r>
    </w:p>
    <w:p>
      <w:pPr>
        <w:pStyle w:val="ListBullet"/>
      </w:pPr>
      <w:r>
        <w:t>Production receives only commits already validated earlier in the chain.</w:t>
      </w:r>
    </w:p>
    <w:p>
      <w:pPr>
        <w:pStyle w:val="ListBullet"/>
      </w:pPr>
      <w:r>
        <w:t>Rollbacks can be tied to known commits and image versions.</w:t>
      </w:r>
    </w:p>
    <w:p>
      <w:pPr>
        <w:pStyle w:val="ListBullet"/>
      </w:pPr>
      <w:r>
        <w:t>Environment drift is reduced because promotions follow a defined order.</w:t>
      </w:r>
    </w:p>
    <w:p/>
    <w:p>
      <w:pPr>
        <w:pStyle w:val="Heading1"/>
      </w:pPr>
      <w:r>
        <w:t>2. Environments</w:t>
      </w:r>
    </w:p>
    <w:p>
      <w:r>
        <w:t>The change introduces an earlier validation stage before formal pre-production and production release.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21"/>
              </w:rPr>
              <w:t>Before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21"/>
              </w:rPr>
              <w:t>After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Production and staging.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Development or test, staging, and production.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Less room for safe experimentation.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A lower-risk environment for active validation.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Staging handles both early integration and pre-prod verification.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Staging can focus on final validation before release.</w:t>
            </w:r>
          </w:p>
        </w:tc>
      </w:tr>
    </w:tbl>
    <w:p/>
    <w:p>
      <w:pPr>
        <w:pStyle w:val="Heading3"/>
      </w:pPr>
      <w:r>
        <w:t>Before snippet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LR</w:t>
        <w:br/>
      </w:r>
      <w:r>
        <w:rPr>
          <w:rFonts w:ascii="Courier New" w:hAnsi="Courier New" w:eastAsia="Courier New"/>
          <w:color w:val="1F2937"/>
          <w:sz w:val="19"/>
        </w:rPr>
        <w:t xml:space="preserve">    Stag[Staging] --&gt; Prod[Production]</w:t>
        <w:br/>
      </w:r>
    </w:p>
    <w:p>
      <w:pPr>
        <w:pStyle w:val="Heading3"/>
      </w:pPr>
      <w:r>
        <w:t>After snippet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LR</w:t>
        <w:br/>
      </w:r>
      <w:r>
        <w:rPr>
          <w:rFonts w:ascii="Courier New" w:hAnsi="Courier New" w:eastAsia="Courier New"/>
          <w:color w:val="1F2937"/>
          <w:sz w:val="19"/>
        </w:rPr>
        <w:t xml:space="preserve">    DevTest[Development or Test] --&gt; Staging[Staging]</w:t>
        <w:br/>
      </w:r>
      <w:r>
        <w:rPr>
          <w:rFonts w:ascii="Courier New" w:hAnsi="Courier New" w:eastAsia="Courier New"/>
          <w:color w:val="1F2937"/>
          <w:sz w:val="19"/>
        </w:rPr>
        <w:t xml:space="preserve">    Staging --&gt; Production[Production]</w:t>
        <w:br/>
      </w:r>
    </w:p>
    <w:p>
      <w:pPr>
        <w:pStyle w:val="Heading2"/>
      </w:pPr>
      <w:r>
        <w:t>Why this change matters</w:t>
      </w:r>
    </w:p>
    <w:p>
      <w:pPr>
        <w:pStyle w:val="ListBullet"/>
      </w:pPr>
      <w:r>
        <w:t>Features can be validated earlier without blocking the staging lane.</w:t>
      </w:r>
    </w:p>
    <w:p>
      <w:pPr>
        <w:pStyle w:val="ListBullet"/>
      </w:pPr>
      <w:r>
        <w:t>Staging becomes a true pre-production gate instead of a catch-all environment.</w:t>
      </w:r>
    </w:p>
    <w:p>
      <w:pPr>
        <w:pStyle w:val="ListBullet"/>
      </w:pPr>
      <w:r>
        <w:t>Failures can be isolated earlier with less production risk.</w:t>
      </w:r>
    </w:p>
    <w:p/>
    <w:p>
      <w:pPr>
        <w:pStyle w:val="Heading1"/>
      </w:pPr>
      <w:r>
        <w:t>3. Hosting model: IaaS before, AKS after</w:t>
      </w:r>
    </w:p>
    <w:p>
      <w:r>
        <w:t>The runtime model changes from server-centric deployment to container-centric deployment.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21"/>
              </w:rPr>
              <w:t>Before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21"/>
              </w:rPr>
              <w:t>After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VM-oriented IaaS deployment.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AKS for frontend and backend, with jobs retained on VMs.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Scaling is more host-based and manual.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Pod-based scaling and rolling updates.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Recovery depends more on VM or process handling.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Kubernetes manages restarts, desired state, and replica counts.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Deployment logic is server-centric.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1"/>
              </w:rPr>
              <w:t>Deployment logic is image-centric and declarative.</w:t>
            </w:r>
          </w:p>
        </w:tc>
      </w:tr>
    </w:tbl>
    <w:p/>
    <w:p>
      <w:pPr>
        <w:pStyle w:val="Heading3"/>
      </w:pPr>
      <w:r>
        <w:t>Before snippet: IaaS oriented deployment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LR</w:t>
        <w:br/>
      </w:r>
      <w:r>
        <w:rPr>
          <w:rFonts w:ascii="Courier New" w:hAnsi="Courier New" w:eastAsia="Courier New"/>
          <w:color w:val="1F2937"/>
          <w:sz w:val="19"/>
        </w:rPr>
        <w:t xml:space="preserve">    User[Users] --&gt; FrontendVM[Frontend on VM]</w:t>
        <w:br/>
      </w:r>
      <w:r>
        <w:rPr>
          <w:rFonts w:ascii="Courier New" w:hAnsi="Courier New" w:eastAsia="Courier New"/>
          <w:color w:val="1F2937"/>
          <w:sz w:val="19"/>
        </w:rPr>
        <w:t xml:space="preserve">    FrontendVM --&gt; BackendVM[Backend on VM]</w:t>
        <w:br/>
      </w:r>
      <w:r>
        <w:rPr>
          <w:rFonts w:ascii="Courier New" w:hAnsi="Courier New" w:eastAsia="Courier New"/>
          <w:color w:val="1F2937"/>
          <w:sz w:val="19"/>
        </w:rPr>
        <w:t xml:space="preserve">    BackendVM --&gt; Azure[Azure data services]</w:t>
        <w:br/>
      </w:r>
      <w:r>
        <w:rPr>
          <w:rFonts w:ascii="Courier New" w:hAnsi="Courier New" w:eastAsia="Courier New"/>
          <w:color w:val="1F2937"/>
          <w:sz w:val="19"/>
        </w:rPr>
        <w:t xml:space="preserve">    JobsVM[Scheduled jobs on VM] --&gt; Azure</w:t>
        <w:br/>
      </w:r>
    </w:p>
    <w:p>
      <w:pPr>
        <w:pStyle w:val="Heading3"/>
      </w:pPr>
      <w:r>
        <w:t>After snippet: AKS oriented deployment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LR</w:t>
        <w:br/>
      </w:r>
      <w:r>
        <w:rPr>
          <w:rFonts w:ascii="Courier New" w:hAnsi="Courier New" w:eastAsia="Courier New"/>
          <w:color w:val="1F2937"/>
          <w:sz w:val="19"/>
        </w:rPr>
        <w:t xml:space="preserve">    User[Users] --&gt; FrontendPods[Frontend pods on AKS]</w:t>
        <w:br/>
      </w:r>
      <w:r>
        <w:rPr>
          <w:rFonts w:ascii="Courier New" w:hAnsi="Courier New" w:eastAsia="Courier New"/>
          <w:color w:val="1F2937"/>
          <w:sz w:val="19"/>
        </w:rPr>
        <w:t xml:space="preserve">    FrontendPods --&gt; BackendPods[Backend pods on AKS]</w:t>
        <w:br/>
      </w:r>
      <w:r>
        <w:rPr>
          <w:rFonts w:ascii="Courier New" w:hAnsi="Courier New" w:eastAsia="Courier New"/>
          <w:color w:val="1F2937"/>
          <w:sz w:val="19"/>
        </w:rPr>
        <w:t xml:space="preserve">    BackendPods --&gt; Azure[Azure data services]</w:t>
        <w:br/>
      </w:r>
      <w:r>
        <w:rPr>
          <w:rFonts w:ascii="Courier New" w:hAnsi="Courier New" w:eastAsia="Courier New"/>
          <w:color w:val="1F2937"/>
          <w:sz w:val="19"/>
        </w:rPr>
        <w:t xml:space="preserve">    JobsVM[Scheduled jobs on VMs] --&gt; Azure</w:t>
        <w:br/>
      </w:r>
      <w:r>
        <w:rPr>
          <w:rFonts w:ascii="Courier New" w:hAnsi="Courier New" w:eastAsia="Courier New"/>
          <w:color w:val="1F2937"/>
          <w:sz w:val="19"/>
        </w:rPr>
        <w:t xml:space="preserve">    CI[CI pipeline] --&gt; JFrog[Container registry]</w:t>
        <w:br/>
      </w:r>
      <w:r>
        <w:rPr>
          <w:rFonts w:ascii="Courier New" w:hAnsi="Courier New" w:eastAsia="Courier New"/>
          <w:color w:val="1F2937"/>
          <w:sz w:val="19"/>
        </w:rPr>
        <w:t xml:space="preserve">    JFrog --&gt; Helm[helm branch values]</w:t>
        <w:br/>
      </w:r>
      <w:r>
        <w:rPr>
          <w:rFonts w:ascii="Courier New" w:hAnsi="Courier New" w:eastAsia="Courier New"/>
          <w:color w:val="1F2937"/>
          <w:sz w:val="19"/>
        </w:rPr>
        <w:t xml:space="preserve">    Helm --&gt; Argo[Argo CD]</w:t>
        <w:br/>
      </w:r>
      <w:r>
        <w:rPr>
          <w:rFonts w:ascii="Courier New" w:hAnsi="Courier New" w:eastAsia="Courier New"/>
          <w:color w:val="1F2937"/>
          <w:sz w:val="19"/>
        </w:rPr>
        <w:t xml:space="preserve">    Argo --&gt; FrontendPods</w:t>
        <w:br/>
      </w:r>
      <w:r>
        <w:rPr>
          <w:rFonts w:ascii="Courier New" w:hAnsi="Courier New" w:eastAsia="Courier New"/>
          <w:color w:val="1F2937"/>
          <w:sz w:val="19"/>
        </w:rPr>
        <w:t xml:space="preserve">    Argo --&gt; BackendPods</w:t>
        <w:br/>
      </w:r>
    </w:p>
    <w:p>
      <w:pPr>
        <w:pStyle w:val="Heading2"/>
      </w:pPr>
      <w:r>
        <w:t>Why this change matters</w:t>
      </w:r>
    </w:p>
    <w:p>
      <w:pPr>
        <w:pStyle w:val="ListBullet"/>
      </w:pPr>
      <w:r>
        <w:t>Self-healing pods reduce operational recovery effort.</w:t>
      </w:r>
    </w:p>
    <w:p>
      <w:pPr>
        <w:pStyle w:val="ListBullet"/>
      </w:pPr>
      <w:r>
        <w:t>Horizontal scale allows frontend and backend to scale without duplicating full servers.</w:t>
      </w:r>
    </w:p>
    <w:p>
      <w:pPr>
        <w:pStyle w:val="ListBullet"/>
      </w:pPr>
      <w:r>
        <w:t>Rolling deployments lower downtime risk during releases.</w:t>
      </w:r>
    </w:p>
    <w:p>
      <w:pPr>
        <w:pStyle w:val="ListBullet"/>
      </w:pPr>
      <w:r>
        <w:t>GitOps alignment makes cluster state auditable and repeatable.</w:t>
      </w:r>
    </w:p>
    <w:p/>
    <w:p>
      <w:pPr>
        <w:pStyle w:val="Heading1"/>
      </w:pPr>
      <w:r>
        <w:t>4. Folder architecture</w:t>
      </w:r>
    </w:p>
    <w:p>
      <w:r>
        <w:t>The repository evolves from a broader mixed layout into a clearer domain-oriented structure.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fill="D9EAF7"/>
          </w:tcPr>
          <w:p>
            <w:r/>
            <w:r>
              <w:rPr>
                <w:b/>
                <w:sz w:val="21"/>
              </w:rPr>
              <w:t>Before: CRCA-Services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21"/>
              </w:rPr>
              <w:t>After: iTelemetry v3</w:t>
            </w:r>
          </w:p>
        </w:tc>
        <w:tc>
          <w:tcPr>
            <w:tcW w:type="dxa" w:w="3600"/>
            <w:shd w:fill="D9EAF7"/>
          </w:tcPr>
          <w:p>
            <w:r/>
            <w:r>
              <w:rPr>
                <w:b/>
                <w:sz w:val="21"/>
              </w:rPr>
              <w:t>Why the after state is better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21"/>
              </w:rPr>
              <w:t>Large mixed repository with client, backend, static assets, pipelines, and docs intertwined.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1"/>
              </w:rPr>
              <w:t>Clear top-level separation into backend, frontend, jobs, tests, and docs.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1"/>
              </w:rPr>
              <w:t>Faster onboarding and less cognitive load when locating code.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21"/>
              </w:rPr>
              <w:t>Backend responsibilities are spread broadly across routes, modules, utilities, and batch scripts.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1"/>
              </w:rPr>
              <w:t>Backend responsibilities are split into apis, domains, and shared.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1"/>
              </w:rPr>
              <w:t>Easier to reason about dependencies and change boundaries.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21"/>
              </w:rPr>
              <w:t>Feature code and integration code are more tightly coupled.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1"/>
              </w:rPr>
              <w:t>Business logic is grouped by domain and connector logic is centralized.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1"/>
              </w:rPr>
              <w:t>Better testability and easier refactoring.</w:t>
            </w:r>
          </w:p>
        </w:tc>
      </w:tr>
    </w:tbl>
    <w:p/>
    <w:p>
      <w:pPr>
        <w:pStyle w:val="Heading3"/>
      </w:pPr>
      <w:r>
        <w:t>Before snippet: legacy repo shape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TB</w:t>
        <w:br/>
      </w:r>
      <w:r>
        <w:rPr>
          <w:rFonts w:ascii="Courier New" w:hAnsi="Courier New" w:eastAsia="Courier New"/>
          <w:color w:val="1F2937"/>
          <w:sz w:val="19"/>
        </w:rPr>
        <w:t xml:space="preserve">    Repo[CRCA-Services]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Github[.github workflows]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Static[static]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Client[client]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LegacyBackend[Custom Dashboard -Backend]</w:t>
        <w:br/>
      </w:r>
      <w:r>
        <w:rPr>
          <w:rFonts w:ascii="Courier New" w:hAnsi="Courier New" w:eastAsia="Courier New"/>
          <w:color w:val="1F2937"/>
          <w:sz w:val="19"/>
        </w:rPr>
        <w:t xml:space="preserve">    LegacyBackend --&gt; MainPy[main.py and many routes]</w:t>
        <w:br/>
      </w:r>
      <w:r>
        <w:rPr>
          <w:rFonts w:ascii="Courier New" w:hAnsi="Courier New" w:eastAsia="Courier New"/>
          <w:color w:val="1F2937"/>
          <w:sz w:val="19"/>
        </w:rPr>
        <w:t xml:space="preserve">    LegacyBackend --&gt; Modules[Modules and utilities]</w:t>
        <w:br/>
      </w:r>
      <w:r>
        <w:rPr>
          <w:rFonts w:ascii="Courier New" w:hAnsi="Courier New" w:eastAsia="Courier New"/>
          <w:color w:val="1F2937"/>
          <w:sz w:val="19"/>
        </w:rPr>
        <w:t xml:space="preserve">    LegacyBackend --&gt; BatchJobs[Batch jobs]</w:t>
        <w:br/>
      </w:r>
    </w:p>
    <w:p>
      <w:pPr>
        <w:pStyle w:val="Heading3"/>
      </w:pPr>
      <w:r>
        <w:t>After snippet: v3 repo shape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TB</w:t>
        <w:br/>
      </w:r>
      <w:r>
        <w:rPr>
          <w:rFonts w:ascii="Courier New" w:hAnsi="Courier New" w:eastAsia="Courier New"/>
          <w:color w:val="1F2937"/>
          <w:sz w:val="19"/>
        </w:rPr>
        <w:t xml:space="preserve">    Repo[iTelemetry v3]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Backend[backend]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Frontend[frontend]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Jobs[jobs]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Tests[tests]</w:t>
        <w:br/>
      </w:r>
      <w:r>
        <w:rPr>
          <w:rFonts w:ascii="Courier New" w:hAnsi="Courier New" w:eastAsia="Courier New"/>
          <w:color w:val="1F2937"/>
          <w:sz w:val="19"/>
        </w:rPr>
        <w:t xml:space="preserve">    Repo --&gt; Docs[docs]</w:t>
        <w:br/>
      </w:r>
      <w:r>
        <w:rPr>
          <w:rFonts w:ascii="Courier New" w:hAnsi="Courier New" w:eastAsia="Courier New"/>
          <w:color w:val="1F2937"/>
          <w:sz w:val="19"/>
        </w:rPr>
        <w:t xml:space="preserve">    Backend --&gt; Apis[apis]</w:t>
        <w:br/>
      </w:r>
      <w:r>
        <w:rPr>
          <w:rFonts w:ascii="Courier New" w:hAnsi="Courier New" w:eastAsia="Courier New"/>
          <w:color w:val="1F2937"/>
          <w:sz w:val="19"/>
        </w:rPr>
        <w:t xml:space="preserve">    Backend --&gt; Domains[domains]</w:t>
        <w:br/>
      </w:r>
      <w:r>
        <w:rPr>
          <w:rFonts w:ascii="Courier New" w:hAnsi="Courier New" w:eastAsia="Courier New"/>
          <w:color w:val="1F2937"/>
          <w:sz w:val="19"/>
        </w:rPr>
        <w:t xml:space="preserve">    Backend --&gt; Shared[shared]</w:t>
        <w:br/>
      </w:r>
      <w:r>
        <w:rPr>
          <w:rFonts w:ascii="Courier New" w:hAnsi="Courier New" w:eastAsia="Courier New"/>
          <w:color w:val="1F2937"/>
          <w:sz w:val="19"/>
        </w:rPr>
        <w:t xml:space="preserve">    Frontend --&gt; Features[features]</w:t>
        <w:br/>
      </w:r>
      <w:r>
        <w:rPr>
          <w:rFonts w:ascii="Courier New" w:hAnsi="Courier New" w:eastAsia="Courier New"/>
          <w:color w:val="1F2937"/>
          <w:sz w:val="19"/>
        </w:rPr>
        <w:t xml:space="preserve">    Frontend --&gt; FrontendShared[shared]</w:t>
        <w:br/>
      </w:r>
    </w:p>
    <w:p>
      <w:pPr>
        <w:pStyle w:val="Heading3"/>
      </w:pPr>
      <w:r>
        <w:t>Microservice split snippet</w:t>
      </w:r>
    </w:p>
    <w:p>
      <w:pPr>
        <w:spacing w:before="0" w:after="200"/>
        <w:shd w:fill="F3F4F6"/>
      </w:pPr>
      <w:r>
        <w:rPr>
          <w:rFonts w:ascii="Courier New" w:hAnsi="Courier New" w:eastAsia="Courier New"/>
          <w:color w:val="1F2937"/>
          <w:sz w:val="19"/>
        </w:rPr>
        <w:t>flowchart LR</w:t>
        <w:br/>
      </w:r>
      <w:r>
        <w:rPr>
          <w:rFonts w:ascii="Courier New" w:hAnsi="Courier New" w:eastAsia="Courier New"/>
          <w:color w:val="1F2937"/>
          <w:sz w:val="19"/>
        </w:rPr>
        <w:t xml:space="preserve">    Apis[apis] --&gt; Alerting[domains/alerting]</w:t>
        <w:br/>
      </w:r>
      <w:r>
        <w:rPr>
          <w:rFonts w:ascii="Courier New" w:hAnsi="Courier New" w:eastAsia="Courier New"/>
          <w:color w:val="1F2937"/>
          <w:sz w:val="19"/>
        </w:rPr>
        <w:t xml:space="preserve">    Apis --&gt; Metrics[domains/metrics]</w:t>
        <w:br/>
      </w:r>
      <w:r>
        <w:rPr>
          <w:rFonts w:ascii="Courier New" w:hAnsi="Courier New" w:eastAsia="Courier New"/>
          <w:color w:val="1F2937"/>
          <w:sz w:val="19"/>
        </w:rPr>
        <w:t xml:space="preserve">    Apis --&gt; Metadata[domains/metadata]</w:t>
        <w:br/>
      </w:r>
      <w:r>
        <w:rPr>
          <w:rFonts w:ascii="Courier New" w:hAnsi="Courier New" w:eastAsia="Courier New"/>
          <w:color w:val="1F2937"/>
          <w:sz w:val="19"/>
        </w:rPr>
        <w:t xml:space="preserve">    Apis --&gt; ChatOps[domains/chatops]</w:t>
        <w:br/>
      </w:r>
      <w:r>
        <w:rPr>
          <w:rFonts w:ascii="Courier New" w:hAnsi="Courier New" w:eastAsia="Courier New"/>
          <w:color w:val="1F2937"/>
          <w:sz w:val="19"/>
        </w:rPr>
        <w:t xml:space="preserve">    Shared[shared connectors] --&gt; Alerting</w:t>
        <w:br/>
      </w:r>
      <w:r>
        <w:rPr>
          <w:rFonts w:ascii="Courier New" w:hAnsi="Courier New" w:eastAsia="Courier New"/>
          <w:color w:val="1F2937"/>
          <w:sz w:val="19"/>
        </w:rPr>
        <w:t xml:space="preserve">    Shared --&gt; Metrics</w:t>
        <w:br/>
      </w:r>
      <w:r>
        <w:rPr>
          <w:rFonts w:ascii="Courier New" w:hAnsi="Courier New" w:eastAsia="Courier New"/>
          <w:color w:val="1F2937"/>
          <w:sz w:val="19"/>
        </w:rPr>
        <w:t xml:space="preserve">    Shared --&gt; Metadata</w:t>
        <w:br/>
      </w:r>
      <w:r>
        <w:rPr>
          <w:rFonts w:ascii="Courier New" w:hAnsi="Courier New" w:eastAsia="Courier New"/>
          <w:color w:val="1F2937"/>
          <w:sz w:val="19"/>
        </w:rPr>
        <w:t xml:space="preserve">    Shared --&gt; ChatOps</w:t>
        <w:br/>
      </w:r>
      <w:r>
        <w:rPr>
          <w:rFonts w:ascii="Courier New" w:hAnsi="Courier New" w:eastAsia="Courier New"/>
          <w:color w:val="1F2937"/>
          <w:sz w:val="19"/>
        </w:rPr>
        <w:t xml:space="preserve">    Alerting -. future service .-&gt; AlertingSvc[alerting service]</w:t>
        <w:br/>
      </w:r>
      <w:r>
        <w:rPr>
          <w:rFonts w:ascii="Courier New" w:hAnsi="Courier New" w:eastAsia="Courier New"/>
          <w:color w:val="1F2937"/>
          <w:sz w:val="19"/>
        </w:rPr>
        <w:t xml:space="preserve">    Metrics -. future service .-&gt; MetricsSvc[metrics service]</w:t>
        <w:br/>
      </w:r>
      <w:r>
        <w:rPr>
          <w:rFonts w:ascii="Courier New" w:hAnsi="Courier New" w:eastAsia="Courier New"/>
          <w:color w:val="1F2937"/>
          <w:sz w:val="19"/>
        </w:rPr>
        <w:t xml:space="preserve">    Metadata -. future service .-&gt; MetadataSvc[metadata service]</w:t>
        <w:br/>
      </w:r>
      <w:r>
        <w:rPr>
          <w:rFonts w:ascii="Courier New" w:hAnsi="Courier New" w:eastAsia="Courier New"/>
          <w:color w:val="1F2937"/>
          <w:sz w:val="19"/>
        </w:rPr>
        <w:t xml:space="preserve">    ChatOps -. future service .-&gt; ChatOpsSvc[chatops service]</w:t>
        <w:br/>
      </w:r>
    </w:p>
    <w:p>
      <w:pPr>
        <w:pStyle w:val="Heading2"/>
      </w:pPr>
      <w:r>
        <w:t>Why this change matters</w:t>
      </w:r>
    </w:p>
    <w:p>
      <w:pPr>
        <w:pStyle w:val="ListBullet"/>
      </w:pPr>
      <w:r>
        <w:t>HTTP routing, business logic, and connector code can change independently.</w:t>
      </w:r>
    </w:p>
    <w:p>
      <w:pPr>
        <w:pStyle w:val="ListBullet"/>
      </w:pPr>
      <w:r>
        <w:t>Teams can align ownership to business capabilities instead of file sprawl.</w:t>
      </w:r>
    </w:p>
    <w:p>
      <w:pPr>
        <w:pStyle w:val="ListBullet"/>
      </w:pPr>
      <w:r>
        <w:t>Stable domain boundaries make future service extraction much more practical.</w:t>
      </w:r>
    </w:p>
    <w:p/>
    <w:p>
      <w:pPr>
        <w:pStyle w:val="Heading1"/>
      </w:pPr>
      <w:r>
        <w:t>Summary</w:t>
      </w:r>
    </w:p>
    <w:p>
      <w:pPr>
        <w:pStyle w:val="ListBullet"/>
      </w:pPr>
      <w:r>
        <w:t>The legacy model is VM-oriented, has fewer environment stages, and is structurally harder to evolve.</w:t>
      </w:r>
    </w:p>
    <w:p>
      <w:pPr>
        <w:pStyle w:val="ListBullet"/>
      </w:pPr>
      <w:r>
        <w:t>The v3 target state introduces GitLab Flow, a development or test stage ahead of staging and production, AKS-based runtime for frontend and backend, and domain-oriented boundaries that support future microservice extraction.</w:t>
      </w:r>
    </w:p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from iTelemetry v3 architecture comparison content.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33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