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F3864"/>
          <w:sz w:val="40"/>
          <w:szCs w:val="40"/>
        </w:rPr>
        <w:t xml:space="preserve">China Foreign Rhetoric Observatory</w:t>
      </w:r>
    </w:p>
    <w:p>
      <w:pPr>
        <w:spacing w:after="120"/>
      </w:pPr>
      <w:r>
        <w:rPr>
          <w:i/>
          <w:iCs/>
          <w:color w:val="555555"/>
          <w:sz w:val="26"/>
          <w:szCs w:val="26"/>
        </w:rPr>
        <w:t xml:space="preserve">Documentation &amp; Methodology</w:t>
      </w:r>
    </w:p>
    <w:p>
      <w:pPr>
        <w:spacing w:after="120"/>
      </w:pPr>
      <w:r>
        <w:rPr>
          <w:i/>
          <w:iCs/>
        </w:rPr>
        <w:t xml:space="preserve">A public research observatory tracking how China’s official media (People’s Daily) signals coercion toward 12 major powers, 1950–2026. Live and auto-updating daily.</w:t>
      </w:r>
    </w:p>
    <w:p>
      <w:pPr>
        <w:spacing w:after="120"/>
      </w:pPr>
      <w:r>
        <w:t xml:space="preserve">Live site: </w:t>
      </w:r>
      <w:hyperlink w:history="1" r:id="rIdr3jsitteo99e7rskmrz0m">
        <w:r>
          <w:rPr>
            <w:rStyle w:val="Hyperlink"/>
          </w:rPr>
          <w:t xml:space="preserve">open dashboard</w:t>
        </w:r>
      </w:hyperlink>
    </w:p>
    <w:p>
      <w:pPr>
        <w:spacing w:after="120"/>
      </w:pPr>
      <w:r>
        <w:t xml:space="preserve">Repository: </w:t>
      </w:r>
      <w:hyperlink w:history="1" r:id="rIdmdp3iichebjc531gwrixh">
        <w:r>
          <w:rPr>
            <w:rStyle w:val="Hyperlink"/>
          </w:rPr>
          <w:t xml:space="preserve">github.com/siuheiwo/china-foreign-rhetoric-observatory</w:t>
        </w:r>
      </w:hyperlink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1. What it is</w:t>
      </w:r>
    </w:p>
    <w:p>
      <w:pPr>
        <w:spacing w:after="120"/>
      </w:pPr>
      <w:r>
        <w:t xml:space="preserve">An interactive dashboard and data pipeline that quantifies, for 12 great powers (United States, Russia, Japan, United Kingdom, France, India, Germany, Vietnam, South Korea, Australia, Indonesia, Pakistan), how strongly People’s Daily — China’s authoritative party newspaper — signals coercion or threat in its foreign-affairs coverage over time (1950–present). Built for researchers and policy analysts. Only aggregate scores (country × period) are published; no article text is reproduced (copyright).</w:t>
      </w:r>
    </w:p>
    <w:p>
      <w:pPr>
        <w:pStyle w:val="Heading1"/>
      </w:pPr>
      <w:r>
        <w:t xml:space="preserve">2. Data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Historical corpus — </w:t>
      </w:r>
      <w:r>
        <w:t xml:space="preserve">~2.0 million People’s Daily articles, 1949–2025, each with an LLM-generated Chinese summary.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Backfill (Dec 2025 – Jun 2026) — </w:t>
      </w:r>
      <w:r>
        <w:t xml:space="preserve">17,038 articles scraped from paper.people.com.cn; all 194 days, full page coverage.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updates — </w:t>
      </w:r>
      <w:r>
        <w:t xml:space="preserve">a scheduled job scrapes each new day automatically.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External benchmark — </w:t>
      </w:r>
      <w:r>
        <w:t xml:space="preserve">Tsinghua China–Great Power Relations Score (Yan Xuetong), monthly ≈ −9…+9, 1950–2025.</w:t>
      </w:r>
    </w:p>
    <w:p>
      <w:pPr>
        <w:pStyle w:val="Heading1"/>
      </w:pPr>
      <w:r>
        <w:t xml:space="preserve">3. The indices (what is measured)</w:t>
      </w:r>
    </w:p>
    <w:p>
      <w:pPr>
        <w:spacing w:after="120"/>
      </w:pPr>
      <w:r>
        <w:t xml:space="preserve">Each article is scored on independent dimensions, then aggregated to country-time means.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Negativity (tone)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Negativity toward the foreign actor (0 friendly … 1 hostile)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DeepSeek LLM over title +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Implicit threat (DeepSeek)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Implied probability PRC media signals use of force in coming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DeepSeek LLM, multi-shot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Lexicon (19-word)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Frequency of validated implicit-threat idioms (玩火自焚 …)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jieba tokenization + dictionary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Latent Semantic Scaling of the same construct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jieba; scale seeded by 19 threat vs peace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framing indices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coercion is justified: law / norms / threat / self-defense / limited / target-few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DeepSeek framing coder (0–1 each)</w:t>
            </w:r>
          </w:p>
        </w:tc>
      </w:tr>
    </w:tbl>
    <w:p>
      <w:pPr>
        <w:spacing w:after="120"/>
      </w:pPr>
      <w:r>
        <w:rPr>
          <w:b/>
          <w:bCs/>
        </w:rPr>
        <w:t xml:space="preserve">Implicit threat ≠ negativity. </w:t>
      </w:r>
      <w:r>
        <w:t xml:space="preserve">Negativity is general tone; implicit threat is force-signaling specifically. They diverge meaningfully (e.g., force-signaling tracks relations tightly for the US but only spiked at the 1969 clash for the USSR).</w:t>
      </w:r>
    </w:p>
    <w:p>
      <w:pPr>
        <w:pStyle w:val="Heading1"/>
      </w:pPr>
      <w:r>
        <w:t xml:space="preserve">4. Methodology / pipeline (per article)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Scrape — </w:t>
      </w:r>
      <w:r>
        <w:t xml:space="preserve">direct HTTP from paper.people.com.cn (enumerate each date’s pages, extract article links, parse date · page · section (版面) · title · author · body). Plain server-rendered HTML; no paid service.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Summarize — </w:t>
      </w:r>
      <w:r>
        <w:t xml:space="preserve">concise factual Chinese summary (DeepSeek-v4-flash).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Classify — </w:t>
      </w:r>
      <w:r>
        <w:t xml:space="preserve">foreign / china-related flags, main foreign actor(s), negativity tone (exact original prompt).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 — </w:t>
      </w:r>
      <w:r>
        <w:t xml:space="preserve">six justification frames (exact original prompt), for China-foreign articles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Implicit threat — </w:t>
      </w:r>
      <w:r>
        <w:t xml:space="preserve">DeepSeek multi-shot prompt using the 19 threat idioms as recognition cues.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Lexicon + LSS — </w:t>
      </w:r>
      <w:r>
        <w:t xml:space="preserve">jieba tokenization (custom dictionary keeps idioms as single tokens); lexicon = idiom share; LSS = mean of fitted term weights.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Aggregate — </w:t>
      </w:r>
      <w:r>
        <w:t xml:space="preserve">to country × {day, week, month}; empty period = 0; weekly/monthly are article-count-weighted from daily (exactly reproduce a per-article mean).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Alarms — </w:t>
      </w:r>
      <w:r>
        <w:t xml:space="preserve">two change-detectors per country (see §6).</w:t>
      </w:r>
    </w:p>
    <w:p>
      <w:pPr>
        <w:pStyle w:val="Heading1"/>
      </w:pPr>
      <w:r>
        <w:t xml:space="preserve">5.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Convergent validity — </w:t>
      </w:r>
      <w:r>
        <w:t xml:space="preserve">vs the Tsinghua relations score: implicit-threat indices correlate negatively across all 12 powers (worse relations ⇒ more threat). Yearly: DeepSeek US −0.79, France −0.72; LSS mean −0.65; negativity US −0.83.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Discriminant behaviour — </w:t>
      </w:r>
      <w:r>
        <w:t xml:space="preserve">force-signaling is not just tone: tight for the US, only a 1969 spike for the USSR.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Inter-method reliability — </w:t>
      </w:r>
      <w:r>
        <w:t xml:space="preserve">Krippendorff’s α ≈ 0.43 (moderate); LSS most consistent.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Lexicon provenance — </w:t>
      </w:r>
      <w:r>
        <w:t xml:space="preserve">Wong, “Forecasting the Use of Force: A Word Embedding Analysis of China’s Rhetoric and Military Escalations,” Political Science Research and Methods.</w:t>
      </w:r>
    </w:p>
    <w:p>
      <w:pPr>
        <w:pStyle w:val="Heading1"/>
      </w:pPr>
      <w:r>
        <w:t xml:space="preserve">6. Alarms</w:t>
      </w:r>
    </w:p>
    <w:p>
      <w:pPr>
        <w:spacing w:after="120"/>
      </w:pPr>
      <w:r>
        <w:t xml:space="preserve">Two standardized, cross-country-comparable signals per country, on the selected index: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k-period exceedance (3- and 5-period) — </w:t>
      </w:r>
      <w:r>
        <w:t xml:space="preserve">SDs the recent k-period average sits above the country’s own EWMA baseline. Yellow ≥ 2σ, red ≥ 3σ. (Acute spikes.)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CUSUM — </w:t>
      </w:r>
      <w:r>
        <w:t xml:space="preserve">Cₜ = max(0, Cₜ₋₁ + zₜ − 0.5), zₜ = standardized residual vs a rolling baseline. Yellow &gt; 3, red &gt; 5. (Sustained drift.)</w:t>
      </w:r>
    </w:p>
    <w:p>
      <w:pPr>
        <w:spacing w:after="120"/>
      </w:pPr>
      <w:r>
        <w:rPr>
          <w:i/>
          <w:iCs/>
        </w:rPr>
        <w:t xml:space="preserve">“More alarming” = departing from a country’s own norm</w:t>
      </w:r>
      <w:r>
        <w:t xml:space="preserve">, not the highest raw level.</w:t>
      </w:r>
    </w:p>
    <w:p>
      <w:pPr>
        <w:pStyle w:val="Heading1"/>
      </w:pPr>
      <w:r>
        <w:t xml:space="preserve">7. Architecture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— </w:t>
      </w:r>
      <w:r>
        <w:t xml:space="preserve">Streamlit (4 pages) reading small scores_*.csv + alarms.csv; deployed on Streamlit Cloud; auto-redeploys on push.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automation — </w:t>
      </w:r>
      <w:r>
        <w:t xml:space="preserve">GitHub Actions (daily.yml), cron 08:00 UTC, runs the full pipeline and commits as observatory-bot. Hands-off; no local machine required.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Secrets — </w:t>
      </w:r>
      <w:r>
        <w:t xml:space="preserve">DEEPSEEK_API_KEY as a GitHub repository secret (never in code).</w:t>
      </w:r>
    </w:p>
    <w:p>
      <w:pPr>
        <w:pStyle w:val="Heading1"/>
      </w:pPr>
      <w:r>
        <w:t xml:space="preserve">8. Repository layout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app.py                        Page 1 — global map, metric cards, top-5, alarm badges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pages/2_Historical_Trends.py  Page 2 — annual trends 1950–2026 + event lines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pages/3_Country_Drilldown.py  Page 3 — recent series + EWMA + Tsinghua overlay + CSV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pages/4_About.py              Page 4 — methodology &amp; validation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utils.py                      loader (mtime cache), indices, CUSUM/EWMA, alarms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build_observatory_data.R      builds scores_*.csv from per-article measures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build_alarms.py               alarms.csv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scores_{daily,weekly,monthly}.csv   data the app reads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pipeline/  daily_update.py, scrape_pd.py, prompts, user.dict, lexicon_psrm19.txt,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lss_beta.json, tsinghua_relations_long.csv, requirements.txt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.github/workflows/daily.yml   daily cron job (08:00 UTC)</w:t>
      </w:r>
    </w:p>
    <w:p>
      <w:pPr>
        <w:pStyle w:val="Heading1"/>
      </w:pPr>
      <w:r>
        <w:t xml:space="preserve">9. How to operate / maintain</w:t>
      </w:r>
    </w:p>
    <w:p>
      <w:pPr>
        <w:pStyle w:val="ListParagraph"/>
        <w:numPr>
          <w:ilvl w:val="0"/>
          <w:numId w:val="2"/>
        </w:numPr>
      </w:pPr>
      <w:r>
        <w:t xml:space="preserve">Change app/pipeline code: edit locally, git push (dashboard redeploys).</w:t>
      </w:r>
    </w:p>
    <w:p>
      <w:pPr>
        <w:pStyle w:val="ListParagraph"/>
        <w:numPr>
          <w:ilvl w:val="0"/>
          <w:numId w:val="2"/>
        </w:numPr>
      </w:pPr>
      <w:r>
        <w:t xml:space="preserve">Workflow files must be edited via the GitHub web UI (Upload preserves formatting; the local token lacks the workflow scope).</w:t>
      </w:r>
    </w:p>
    <w:p>
      <w:pPr>
        <w:pStyle w:val="ListParagraph"/>
        <w:numPr>
          <w:ilvl w:val="0"/>
          <w:numId w:val="2"/>
        </w:numPr>
      </w:pPr>
      <w:r>
        <w:t xml:space="preserve">Run on demand: Actions tab → daily-update → Run workflow.</w:t>
      </w:r>
    </w:p>
    <w:p>
      <w:pPr>
        <w:pStyle w:val="ListParagraph"/>
        <w:numPr>
          <w:ilvl w:val="0"/>
          <w:numId w:val="2"/>
        </w:numPr>
      </w:pPr>
      <w:r>
        <w:t xml:space="preserve">Rename URL: share.streamlit.io → app → Settings → Subdomain.</w:t>
      </w:r>
    </w:p>
    <w:p>
      <w:pPr>
        <w:pStyle w:val="ListParagraph"/>
        <w:numPr>
          <w:ilvl w:val="0"/>
          <w:numId w:val="2"/>
        </w:numPr>
      </w:pPr>
      <w:r>
        <w:t xml:space="preserve">Stale error: Streamlit → Manage app → Reboot.</w:t>
      </w:r>
    </w:p>
    <w:p>
      <w:pPr>
        <w:pStyle w:val="Heading1"/>
      </w:pPr>
      <w:r>
        <w:t xml:space="preserve">10. Caveats &amp; limitations</w:t>
      </w:r>
    </w:p>
    <w:p>
      <w:pPr>
        <w:pStyle w:val="ListParagraph"/>
        <w:numPr>
          <w:ilvl w:val="0"/>
          <w:numId w:val="2"/>
        </w:numPr>
      </w:pPr>
      <w:r>
        <w:t xml:space="preserve">Sparsity: implicit-threat idioms appear in ~2% of articles; small-N periods are noisy.</w:t>
      </w:r>
    </w:p>
    <w:p>
      <w:pPr>
        <w:pStyle w:val="ListParagraph"/>
        <w:numPr>
          <w:ilvl w:val="0"/>
          <w:numId w:val="2"/>
        </w:numPr>
      </w:pPr>
      <w:r>
        <w:t xml:space="preserve">Backfill summary step reconstructed; classify/framing/implicit-threat prompts are verbatim.</w:t>
      </w:r>
    </w:p>
    <w:p>
      <w:pPr>
        <w:pStyle w:val="ListParagraph"/>
        <w:numPr>
          <w:ilvl w:val="0"/>
          <w:numId w:val="2"/>
        </w:numPr>
      </w:pPr>
      <w:r>
        <w:t xml:space="preserve">Daily job uses Python jieba vs historical R jiebaR — headline LLM measures unaffected; lexicon/LSS may differ marginally.</w:t>
      </w:r>
    </w:p>
    <w:p>
      <w:pPr>
        <w:pStyle w:val="ListParagraph"/>
        <w:numPr>
          <w:ilvl w:val="0"/>
          <w:numId w:val="2"/>
        </w:numPr>
      </w:pPr>
      <w:r>
        <w:t xml:space="preserve">Event markers are LLM-generated + Tsinghua-verified — illustrative, not citation-sourced.</w:t>
      </w:r>
    </w:p>
    <w:p>
      <w:pPr>
        <w:pStyle w:val="ListParagraph"/>
        <w:numPr>
          <w:ilvl w:val="0"/>
          <w:numId w:val="2"/>
        </w:numPr>
      </w:pPr>
      <w:r>
        <w:t xml:space="preserve">Copyright: article text is never published — only aggregate scores.</w:t>
      </w:r>
    </w:p>
    <w:p>
      <w:pPr>
        <w:pStyle w:val="ListParagraph"/>
        <w:numPr>
          <w:ilvl w:val="0"/>
          <w:numId w:val="2"/>
        </w:numPr>
      </w:pPr>
      <w:r>
        <w:t xml:space="preserve">Historical actors (USSR, East/West Germany) render on present-day borders on the map.</w:t>
      </w:r>
    </w:p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Built 2026. Prepared with assistance from Claude (Anthropic).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China Foreign Rhetoric Observatory — Documentation   · 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3jsitteo99e7rskmrz0m" Type="http://schemas.openxmlformats.org/officeDocument/2006/relationships/hyperlink" Target="https://china-foreign-rhetoric-observator-9xdkvb8yyiscf3maiayzgz.streamlit.app/" TargetMode="External"/><Relationship Id="rIdmdp3iichebjc531gwrixh" Type="http://schemas.openxmlformats.org/officeDocument/2006/relationships/hyperlink" Target="https://github.com/siuheiwo/china-foreign-rhetoric-observator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2026-06-13T08:23:34.276Z</dcterms:created>
  <dcterms:modified xsi:type="dcterms:W3CDTF">2026-06-13T08:23:34.276Z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