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D4FF"/>
          <w:sz w:val="32"/>
        </w:rPr>
        <w:t>NOVALUMINA STUDIO</w:t>
      </w:r>
    </w:p>
    <w:p>
      <w:pPr>
        <w:jc w:val="center"/>
      </w:pPr>
      <w:r>
        <w:rPr>
          <w:b/>
          <w:color w:val="070B1A"/>
          <w:sz w:val="40"/>
        </w:rPr>
        <w:t>HUE HUNT: FAMILY MISSION</w:t>
      </w:r>
    </w:p>
    <w:p>
      <w:pPr>
        <w:jc w:val="center"/>
      </w:pPr>
      <w:r>
        <w:rPr>
          <w:b w:val="0"/>
          <w:color w:val="505050"/>
          <w:sz w:val="26"/>
        </w:rPr>
        <w:t>Multi-Audience Hybrid Mission Game — Real-World &amp; Shared-Screen Play</w:t>
      </w:r>
    </w:p>
    <w:p>
      <w:pPr>
        <w:jc w:val="center"/>
      </w:pPr>
      <w:r>
        <w:rPr>
          <w:b/>
          <w:color w:val="6B21A8"/>
          <w:sz w:val="24"/>
        </w:rPr>
        <w:t>FORMAL BUSINESS PLAN</w:t>
      </w:r>
    </w:p>
    <w:p>
      <w:pPr>
        <w:jc w:val="center"/>
      </w:pPr>
      <w:r>
        <w:rPr>
          <w:color w:val="5A5A5A"/>
          <w:sz w:val="20"/>
        </w:rPr>
        <w:t>Fiscal Year 2026–27 (1 April 2026 – 31 March 2027)</w:t>
        <w:br/>
        <w:t>Document Reference: NL-HH-2026-002</w:t>
        <w:br/>
        <w:t>Document Version: 2.1</w:t>
        <w:br/>
        <w:t>Classification: STRICTLY CONFIDENTIAL</w:t>
        <w:br/>
        <w:t>Date of Issue: 26 May 2026</w:t>
        <w:br/>
        <w:t>Prepared by: NovaLumina Studio — Corporate Development</w:t>
        <w:br/>
        <w:t>Registered Contact: hello@novaluminastudio.com</w:t>
      </w:r>
    </w:p>
    <w:p/>
    <w:p>
      <w:r>
        <w:br w:type="page"/>
      </w:r>
    </w:p>
    <w:p>
      <w:pPr>
        <w:pStyle w:val="Heading1"/>
      </w:pPr>
      <w:r>
        <w:rPr>
          <w:rFonts w:ascii="Calibri" w:hAnsi="Calibri"/>
          <w:color w:val="6B21A8"/>
        </w:rPr>
        <w:t>Document Control</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Document Title</w:t>
            </w:r>
          </w:p>
        </w:tc>
        <w:tc>
          <w:tcPr>
            <w:tcW w:type="dxa" w:w="4320"/>
          </w:tcPr>
          <w:p>
            <w:r>
              <w:t>Hue Hunt: Family Mission — Formal Business Plan</w:t>
            </w:r>
          </w:p>
        </w:tc>
      </w:tr>
      <w:tr>
        <w:tc>
          <w:tcPr>
            <w:tcW w:type="dxa" w:w="4320"/>
          </w:tcPr>
          <w:p>
            <w:r>
              <w:t>Document Reference</w:t>
            </w:r>
          </w:p>
        </w:tc>
        <w:tc>
          <w:tcPr>
            <w:tcW w:type="dxa" w:w="4320"/>
          </w:tcPr>
          <w:p>
            <w:r>
              <w:t>NL-HH-2026-002</w:t>
            </w:r>
          </w:p>
        </w:tc>
      </w:tr>
      <w:tr>
        <w:tc>
          <w:tcPr>
            <w:tcW w:type="dxa" w:w="4320"/>
          </w:tcPr>
          <w:p>
            <w:r>
              <w:t>Version</w:t>
            </w:r>
          </w:p>
        </w:tc>
        <w:tc>
          <w:tcPr>
            <w:tcW w:type="dxa" w:w="4320"/>
          </w:tcPr>
          <w:p>
            <w:r>
              <w:t>2.1</w:t>
            </w:r>
          </w:p>
        </w:tc>
      </w:tr>
      <w:tr>
        <w:tc>
          <w:tcPr>
            <w:tcW w:type="dxa" w:w="4320"/>
          </w:tcPr>
          <w:p>
            <w:r>
              <w:t>Status</w:t>
            </w:r>
          </w:p>
        </w:tc>
        <w:tc>
          <w:tcPr>
            <w:tcW w:type="dxa" w:w="4320"/>
          </w:tcPr>
          <w:p>
            <w:r>
              <w:t>Issued for Review</w:t>
            </w:r>
          </w:p>
        </w:tc>
      </w:tr>
      <w:tr>
        <w:tc>
          <w:tcPr>
            <w:tcW w:type="dxa" w:w="4320"/>
          </w:tcPr>
          <w:p>
            <w:r>
              <w:t>Classification</w:t>
            </w:r>
          </w:p>
        </w:tc>
        <w:tc>
          <w:tcPr>
            <w:tcW w:type="dxa" w:w="4320"/>
          </w:tcPr>
          <w:p>
            <w:r>
              <w:t>Strictly Confidential</w:t>
            </w:r>
          </w:p>
        </w:tc>
      </w:tr>
      <w:tr>
        <w:tc>
          <w:tcPr>
            <w:tcW w:type="dxa" w:w="4320"/>
          </w:tcPr>
          <w:p>
            <w:r>
              <w:t>Fiscal Year</w:t>
            </w:r>
          </w:p>
        </w:tc>
        <w:tc>
          <w:tcPr>
            <w:tcW w:type="dxa" w:w="4320"/>
          </w:tcPr>
          <w:p>
            <w:r>
              <w:t>2026–27 (1 Apr 2026 – 31 Mar 2027)</w:t>
            </w:r>
          </w:p>
        </w:tc>
      </w:tr>
      <w:tr>
        <w:tc>
          <w:tcPr>
            <w:tcW w:type="dxa" w:w="4320"/>
          </w:tcPr>
          <w:p>
            <w:r>
              <w:t>Consumer brand (stores)</w:t>
            </w:r>
          </w:p>
        </w:tc>
        <w:tc>
          <w:tcPr>
            <w:tcW w:type="dxa" w:w="4320"/>
          </w:tcPr>
          <w:p>
            <w:r>
              <w:t>Room Sketch</w:t>
            </w:r>
          </w:p>
        </w:tc>
      </w:tr>
      <w:tr>
        <w:tc>
          <w:tcPr>
            <w:tcW w:type="dxa" w:w="4320"/>
          </w:tcPr>
          <w:p>
            <w:r>
              <w:t>Companion specification</w:t>
            </w:r>
          </w:p>
        </w:tc>
        <w:tc>
          <w:tcPr>
            <w:tcW w:type="dxa" w:w="4320"/>
          </w:tcPr>
          <w:p>
            <w:r>
              <w:t>—</w:t>
            </w:r>
          </w:p>
        </w:tc>
      </w:tr>
      <w:tr>
        <w:tc>
          <w:tcPr>
            <w:tcW w:type="dxa" w:w="4320"/>
          </w:tcPr>
          <w:p>
            <w:r>
              <w:t>Author</w:t>
            </w:r>
          </w:p>
        </w:tc>
        <w:tc>
          <w:tcPr>
            <w:tcW w:type="dxa" w:w="4320"/>
          </w:tcPr>
          <w:p>
            <w:r>
              <w:t>NovaLumina Studio — Product &amp; Strategy</w:t>
            </w:r>
          </w:p>
        </w:tc>
      </w:tr>
      <w:tr>
        <w:tc>
          <w:tcPr>
            <w:tcW w:type="dxa" w:w="4320"/>
          </w:tcPr>
          <w:p>
            <w:r>
              <w:t>Approver</w:t>
            </w:r>
          </w:p>
        </w:tc>
        <w:tc>
          <w:tcPr>
            <w:tcW w:type="dxa" w:w="4320"/>
          </w:tcPr>
          <w:p>
            <w:r>
              <w:t>Founding Leadership (pending signature)</w:t>
            </w:r>
          </w:p>
        </w:tc>
      </w:tr>
      <w:tr>
        <w:tc>
          <w:tcPr>
            <w:tcW w:type="dxa" w:w="4320"/>
          </w:tcPr>
          <w:p>
            <w:r>
              <w:t>Next Review Date</w:t>
            </w:r>
          </w:p>
        </w:tc>
        <w:tc>
          <w:tcPr>
            <w:tcW w:type="dxa" w:w="4320"/>
          </w:tcPr>
          <w:p>
            <w:r>
              <w:t>1 September 2026</w:t>
            </w:r>
          </w:p>
        </w:tc>
      </w:tr>
    </w:tbl>
    <w:p/>
    <w:p>
      <w:pPr>
        <w:pStyle w:val="Heading2"/>
      </w:pPr>
      <w:r>
        <w:rPr>
          <w:rFonts w:ascii="Calibri" w:hAnsi="Calibri"/>
        </w:rP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Summary of Changes</w:t>
            </w:r>
          </w:p>
        </w:tc>
      </w:tr>
      <w:tr>
        <w:tc>
          <w:tcPr>
            <w:tcW w:type="dxa" w:w="2160"/>
          </w:tcPr>
          <w:p>
            <w:r>
              <w:t>1.0</w:t>
            </w:r>
          </w:p>
        </w:tc>
        <w:tc>
          <w:tcPr>
            <w:tcW w:type="dxa" w:w="2160"/>
          </w:tcPr>
          <w:p>
            <w:r>
              <w:t>May 2026</w:t>
            </w:r>
          </w:p>
        </w:tc>
        <w:tc>
          <w:tcPr>
            <w:tcW w:type="dxa" w:w="2160"/>
          </w:tcPr>
          <w:p>
            <w:r>
              <w:t>NovaLumina Studio</w:t>
            </w:r>
          </w:p>
        </w:tc>
        <w:tc>
          <w:tcPr>
            <w:tcW w:type="dxa" w:w="2160"/>
          </w:tcPr>
          <w:p>
            <w:r>
              <w:t>Initial draft</w:t>
            </w:r>
          </w:p>
        </w:tc>
      </w:tr>
      <w:tr>
        <w:tc>
          <w:tcPr>
            <w:tcW w:type="dxa" w:w="2160"/>
          </w:tcPr>
          <w:p>
            <w:r>
              <w:t>2.0</w:t>
            </w:r>
          </w:p>
        </w:tc>
        <w:tc>
          <w:tcPr>
            <w:tcW w:type="dxa" w:w="2160"/>
          </w:tcPr>
          <w:p>
            <w:r>
              <w:t>26 May 2026</w:t>
            </w:r>
          </w:p>
        </w:tc>
        <w:tc>
          <w:tcPr>
            <w:tcW w:type="dxa" w:w="2160"/>
          </w:tcPr>
          <w:p>
            <w:r>
              <w:t>NovaLumina Studio</w:t>
            </w:r>
          </w:p>
        </w:tc>
        <w:tc>
          <w:tcPr>
            <w:tcW w:type="dxa" w:w="2160"/>
          </w:tcPr>
          <w:p>
            <w:r>
              <w:t>Formal reissue; Social Play Framework; corporate structure</w:t>
            </w:r>
          </w:p>
        </w:tc>
      </w:tr>
      <w:tr>
        <w:tc>
          <w:tcPr>
            <w:tcW w:type="dxa" w:w="2160"/>
          </w:tcPr>
          <w:p>
            <w:r>
              <w:t>2.1</w:t>
            </w:r>
          </w:p>
        </w:tc>
        <w:tc>
          <w:tcPr>
            <w:tcW w:type="dxa" w:w="2160"/>
          </w:tcPr>
          <w:p>
            <w:r>
              <w:t>1 June 2026</w:t>
            </w:r>
          </w:p>
        </w:tc>
        <w:tc>
          <w:tcPr>
            <w:tcW w:type="dxa" w:w="2160"/>
          </w:tcPr>
          <w:p>
            <w:r>
              <w:t>NovaLumina Studio</w:t>
            </w:r>
          </w:p>
        </w:tc>
        <w:tc>
          <w:tcPr>
            <w:tcW w:type="dxa" w:w="2160"/>
          </w:tcPr>
          <w:p>
            <w:r>
              <w:t>Consumer brand Room Sketch; shipped Flutter v1.0–v1.1; Digital Table Pack; age profiles; furniture silhouettes; integrated physical roadmap</w:t>
            </w:r>
          </w:p>
        </w:tc>
      </w:tr>
    </w:tbl>
    <w:p/>
    <w:p>
      <w:pPr>
        <w:pStyle w:val="Heading2"/>
      </w:pPr>
      <w:r>
        <w:rPr>
          <w:rFonts w:ascii="Calibri" w:hAnsi="Calibri"/>
        </w:rPr>
        <w:t>Distribution List</w:t>
      </w:r>
    </w:p>
    <w:p>
      <w:r>
        <w:t>This document is distributed on a need-to-know basis to: prospective investors; strategic publishing partners; platform representatives; and senior leadership of NovaLumina Studio. Recipients shall not forward without written consent.</w:t>
      </w:r>
    </w:p>
    <w:p>
      <w:r>
        <w:br w:type="page"/>
      </w:r>
    </w:p>
    <w:p>
      <w:pPr>
        <w:pStyle w:val="Heading1"/>
      </w:pPr>
      <w:r>
        <w:rPr>
          <w:rFonts w:ascii="Calibri" w:hAnsi="Calibri"/>
          <w:color w:val="6B21A8"/>
        </w:rPr>
        <w:t>Table of Contents</w:t>
      </w:r>
    </w:p>
    <w:p>
      <w:pPr>
        <w:ind w:left="360"/>
      </w:pPr>
      <w:r>
        <w:rPr>
          <w:sz w:val="22"/>
        </w:rPr>
        <w:t>1. Document Control</w:t>
      </w:r>
    </w:p>
    <w:p>
      <w:pPr>
        <w:ind w:left="360"/>
      </w:pPr>
      <w:r>
        <w:rPr>
          <w:sz w:val="22"/>
        </w:rPr>
        <w:t>2. Notice to Reader</w:t>
      </w:r>
    </w:p>
    <w:p>
      <w:pPr>
        <w:ind w:left="360"/>
      </w:pPr>
      <w:r>
        <w:rPr>
          <w:sz w:val="22"/>
        </w:rPr>
        <w:t>3. Executive Summary</w:t>
      </w:r>
    </w:p>
    <w:p>
      <w:pPr>
        <w:ind w:left="360"/>
      </w:pPr>
      <w:r>
        <w:rPr>
          <w:sz w:val="22"/>
        </w:rPr>
        <w:t>4. Company Overview</w:t>
      </w:r>
    </w:p>
    <w:p>
      <w:pPr>
        <w:ind w:left="360"/>
      </w:pPr>
      <w:r>
        <w:rPr>
          <w:sz w:val="22"/>
        </w:rPr>
        <w:t>5. Product Description</w:t>
      </w:r>
    </w:p>
    <w:p>
      <w:pPr>
        <w:ind w:left="360"/>
      </w:pPr>
      <w:r>
        <w:rPr>
          <w:sz w:val="22"/>
        </w:rPr>
        <w:t>6. Innovation Wedge &amp; Untapped Opportunity</w:t>
      </w:r>
    </w:p>
    <w:p>
      <w:pPr>
        <w:ind w:left="360"/>
      </w:pPr>
      <w:r>
        <w:rPr>
          <w:sz w:val="22"/>
        </w:rPr>
        <w:t>7. B2B &amp; Fast Client Acquisition</w:t>
      </w:r>
    </w:p>
    <w:p>
      <w:pPr>
        <w:ind w:left="360"/>
      </w:pPr>
      <w:r>
        <w:rPr>
          <w:sz w:val="22"/>
        </w:rPr>
        <w:t>8. Business Strategy &amp; Revenue Acceleration</w:t>
      </w:r>
    </w:p>
    <w:p>
      <w:pPr>
        <w:ind w:left="360"/>
      </w:pPr>
      <w:r>
        <w:rPr>
          <w:sz w:val="22"/>
        </w:rPr>
        <w:t>9. Target Audience and Use-Case Framework</w:t>
      </w:r>
    </w:p>
    <w:p>
      <w:pPr>
        <w:ind w:left="360"/>
      </w:pPr>
      <w:r>
        <w:rPr>
          <w:sz w:val="22"/>
        </w:rPr>
        <w:t>10. Market Analysis</w:t>
      </w:r>
    </w:p>
    <w:p>
      <w:pPr>
        <w:ind w:left="360"/>
      </w:pPr>
      <w:r>
        <w:rPr>
          <w:sz w:val="22"/>
        </w:rPr>
        <w:t>11. Implementation Schedule</w:t>
      </w:r>
    </w:p>
    <w:p>
      <w:pPr>
        <w:ind w:left="360"/>
      </w:pPr>
      <w:r>
        <w:rPr>
          <w:sz w:val="22"/>
        </w:rPr>
        <w:t>12. Go-to-Market Strategy</w:t>
      </w:r>
    </w:p>
    <w:p>
      <w:pPr>
        <w:ind w:left="360"/>
      </w:pPr>
      <w:r>
        <w:rPr>
          <w:sz w:val="22"/>
        </w:rPr>
        <w:t>13. Financial Overview</w:t>
      </w:r>
    </w:p>
    <w:p>
      <w:pPr>
        <w:ind w:left="360"/>
      </w:pPr>
      <w:r>
        <w:rPr>
          <w:sz w:val="22"/>
        </w:rPr>
        <w:t>14. Organisational and Operational Plan</w:t>
      </w:r>
    </w:p>
    <w:p>
      <w:pPr>
        <w:ind w:left="360"/>
      </w:pPr>
      <w:r>
        <w:rPr>
          <w:sz w:val="22"/>
        </w:rPr>
        <w:t>15. Risk Register</w:t>
      </w:r>
    </w:p>
    <w:p>
      <w:pPr>
        <w:ind w:left="360"/>
      </w:pPr>
      <w:r>
        <w:rPr>
          <w:sz w:val="22"/>
        </w:rPr>
        <w:t>16. Conclusion and Recommendation</w:t>
      </w:r>
    </w:p>
    <w:p>
      <w:pPr>
        <w:ind w:left="360"/>
      </w:pPr>
      <w:r>
        <w:rPr>
          <w:sz w:val="22"/>
        </w:rPr>
        <w:t>17. Approval and Authorisation</w:t>
      </w:r>
    </w:p>
    <w:p>
      <w:r>
        <w:br w:type="page"/>
      </w:r>
    </w:p>
    <w:p>
      <w:pPr>
        <w:pStyle w:val="Heading1"/>
      </w:pPr>
      <w:r>
        <w:rPr>
          <w:rFonts w:ascii="Calibri" w:hAnsi="Calibri"/>
          <w:color w:val="6B21A8"/>
        </w:rPr>
        <w:t>Notice to Reader</w:t>
      </w:r>
    </w:p>
    <w:p>
      <w:r>
        <w:t>This Formal Business Plan (the “Plan”) has been prepared by NovaLumina Studio (the “Company”) for confidential review. The Plan contains forward-looking statements regarding product development schedules, market opportunity, and financial projections. Actual results may differ materially from those expressed or implied. The Company undertakes no obligation to update this Plan except as required by applicable law or mutual agreement with the recipient.</w:t>
      </w:r>
    </w:p>
    <w:p>
      <w:pPr>
        <w:pStyle w:val="Heading2"/>
      </w:pPr>
      <w:r>
        <w:rPr>
          <w:rFonts w:ascii="Calibri" w:hAnsi="Calibri"/>
        </w:rPr>
        <w:t>Confidentiality and Restricted Use</w:t>
      </w:r>
    </w:p>
    <w:p>
      <w:r>
        <w:t>Receipt of this Plan constitutes agreement that the recipient will: (i) hold all information in strict confidence; (ii) use the Plan solely for evaluation of a commercial, investment, or partnership relationship with the Company; and (iii) not disclose, reproduce, or distribute any portion without prior written authorisation from NovaLumina Studio. Breach may result in injunctive relief and damages to the fullest extent permitted by law.</w:t>
      </w:r>
    </w:p>
    <w:p>
      <w:pPr>
        <w:pStyle w:val="Heading1"/>
      </w:pPr>
      <w:r>
        <w:rPr>
          <w:rFonts w:ascii="Calibri" w:hAnsi="Calibri"/>
          <w:color w:val="6B21A8"/>
        </w:rPr>
        <w:t>Executive Summary</w:t>
      </w:r>
    </w:p>
    <w:p>
      <w:r>
        <w:t>Hue Hunt: Family Mission is a hybrid social scavenger platform: real-world object, texture, and combo missions (not colour-matching quizzes) plus short on-device mini-games (Forge, Echo, Relay, Duel, Ritual). A v1.0 investor-ready Flutter build demonstrates five session modes, team scoreboards, pass-the-device party flow, Chroma Map progression, and Hunt-Hue Box companion play—device-optional tabletop retail aligned with Jenga / Heads Up occasion buying.</w:t>
      </w:r>
    </w:p>
    <w:p>
      <w:r>
        <w:t>The untapped wedge is “structured I Spy for any gathering”—premium enough for investors and retailers, simple enough for impulse party-aisle purchase. Colour literacy stays in digital Forge/Echo tracks; scavenger hunts use concrete prompts every room can satisfy.</w:t>
      </w:r>
    </w:p>
    <w:p>
      <w:r>
        <w:t>Parallel sub-brands—Friends Hunt, Party Mission, Team Expedition, Kids Co-Op—prevent family-only positioning while one mission engine powers all decks.</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Specification</w:t>
            </w:r>
          </w:p>
        </w:tc>
      </w:tr>
      <w:tr>
        <w:tc>
          <w:tcPr>
            <w:tcW w:type="dxa" w:w="4320"/>
          </w:tcPr>
          <w:p>
            <w:r>
              <w:t>Development start</w:t>
            </w:r>
          </w:p>
        </w:tc>
        <w:tc>
          <w:tcPr>
            <w:tcW w:type="dxa" w:w="4320"/>
          </w:tcPr>
          <w:p>
            <w:r>
              <w:t>Q2 FY2026 (August 2026)</w:t>
            </w:r>
          </w:p>
        </w:tc>
      </w:tr>
      <w:tr>
        <w:tc>
          <w:tcPr>
            <w:tcW w:type="dxa" w:w="4320"/>
          </w:tcPr>
          <w:p>
            <w:r>
              <w:t>Soft launch</w:t>
            </w:r>
          </w:p>
        </w:tc>
        <w:tc>
          <w:tcPr>
            <w:tcW w:type="dxa" w:w="4320"/>
          </w:tcPr>
          <w:p>
            <w:r>
              <w:t>Q4 FY2026 (February 2027)</w:t>
            </w:r>
          </w:p>
        </w:tc>
      </w:tr>
      <w:tr>
        <w:tc>
          <w:tcPr>
            <w:tcW w:type="dxa" w:w="4320"/>
          </w:tcPr>
          <w:p>
            <w:r>
              <w:t>Global launch</w:t>
            </w:r>
          </w:p>
        </w:tc>
        <w:tc>
          <w:tcPr>
            <w:tcW w:type="dxa" w:w="4320"/>
          </w:tcPr>
          <w:p>
            <w:r>
              <w:t>Q2 FY2027 (May 2027)</w:t>
            </w:r>
          </w:p>
        </w:tc>
      </w:tr>
      <w:tr>
        <w:tc>
          <w:tcPr>
            <w:tcW w:type="dxa" w:w="4320"/>
          </w:tcPr>
          <w:p>
            <w:r>
              <w:t>Indicative budget</w:t>
            </w:r>
          </w:p>
        </w:tc>
        <w:tc>
          <w:tcPr>
            <w:tcW w:type="dxa" w:w="4320"/>
          </w:tcPr>
          <w:p>
            <w:r>
              <w:t>USD 67,000</w:t>
            </w:r>
          </w:p>
        </w:tc>
      </w:tr>
    </w:tbl>
    <w:p/>
    <w:p>
      <w:pPr>
        <w:pStyle w:val="Heading1"/>
      </w:pPr>
      <w:r>
        <w:rPr>
          <w:rFonts w:ascii="Calibri" w:hAnsi="Calibri"/>
          <w:color w:val="6B21A8"/>
        </w:rPr>
        <w:t>Company Overview</w:t>
      </w:r>
    </w:p>
    <w:p>
      <w:r>
        <w:t>See Section 4 of Block Party: Together plan (NovaLumina Studio). Consistent corporate capability applies.</w:t>
      </w:r>
    </w:p>
    <w:p>
      <w:pPr>
        <w:pStyle w:val="Heading1"/>
      </w:pPr>
      <w:r>
        <w:rPr>
          <w:rFonts w:ascii="Calibri" w:hAnsi="Calibri"/>
          <w:color w:val="6B21A8"/>
        </w:rPr>
        <w:t>Product Description</w:t>
      </w:r>
    </w:p>
    <w:p>
      <w:pPr>
        <w:pStyle w:val="ListBullet"/>
      </w:pPr>
      <w:r>
        <w:t>Scavenger hunts are object-, texture-, and combo-led (v1.0)—players find things in the room, not match flat colour swatches.</w:t>
      </w:r>
    </w:p>
    <w:p>
      <w:pPr>
        <w:pStyle w:val="ListBullet"/>
      </w:pPr>
      <w:r>
        <w:t>Digital Expedition (app) + Hunt-Hue Box (48-card retail SKU)—play with zero, one, or many phones.</w:t>
      </w:r>
    </w:p>
    <w:p>
      <w:pPr>
        <w:pStyle w:val="ListBullet"/>
      </w:pPr>
      <w:r>
        <w:t>Five session modes: Family, Friends, Party, Team Expedition, Kids Co-Op—each with curated tone decks.</w:t>
      </w:r>
    </w:p>
    <w:p>
      <w:pPr>
        <w:pStyle w:val="ListBullet"/>
      </w:pPr>
      <w:r>
        <w:t>2–4 named teams, live scoreboard, pass-device flow; camera always optional (off by default for Party/Team/Kids/Box).</w:t>
      </w:r>
    </w:p>
    <w:p>
      <w:pPr>
        <w:pStyle w:val="ListBullet"/>
      </w:pPr>
      <w:r>
        <w:t>Hue Spirit narrator, Chroma Map unlocks, Expedition Journal stickers—investor-demo narrative layer shipped in v1.0.</w:t>
      </w:r>
    </w:p>
    <w:p>
      <w:pPr>
        <w:pStyle w:val="ListBullet"/>
      </w:pPr>
      <w:r>
        <w:t>Printable rules PDF + in-app card gallery (63×88mm) de-risks first MOQ print run.</w:t>
      </w:r>
    </w:p>
    <w:p>
      <w:pPr>
        <w:pStyle w:val="Heading2"/>
      </w:pPr>
      <w:r>
        <w:rPr>
          <w:rFonts w:ascii="Calibri" w:hAnsi="Calibri"/>
        </w:rPr>
        <w:t>Hunt-Hue Box (Physical Tabletop SKU)</w:t>
      </w:r>
    </w:p>
    <w:p>
      <w:r>
        <w:t>Hue Hunt is designed as a dual-revenue product: a free-to-play / premium digital app and a consumer retail Hunt-Hue Box (working title), positioned alongside party games such as Heads Up, Jenga, and Monopoly. The box contains 48 mission cards (object, texture, combo—no colour-only hunt cards), a sand timer, team tokens, and a Hue Spirit guide booklet. Play requires no phone; one device may act as scorekeeper; QR unlocks bonus digital chapters.</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Purpose</w:t>
            </w:r>
          </w:p>
        </w:tc>
      </w:tr>
      <w:tr>
        <w:tc>
          <w:tcPr>
            <w:tcW w:type="dxa" w:w="4320"/>
          </w:tcPr>
          <w:p>
            <w:r>
              <w:t>48 mission cards (v1)</w:t>
            </w:r>
          </w:p>
        </w:tc>
        <w:tc>
          <w:tcPr>
            <w:tcW w:type="dxa" w:w="4320"/>
          </w:tcPr>
          <w:p>
            <w:r>
              <w:t>Object, texture, combo, relay, duel, ritual—indoor-safe prompts</w:t>
            </w:r>
          </w:p>
        </w:tc>
      </w:tr>
      <w:tr>
        <w:tc>
          <w:tcPr>
            <w:tcW w:type="dxa" w:w="4320"/>
          </w:tcPr>
          <w:p>
            <w:r>
              <w:t>Team tokens (4 squads)</w:t>
            </w:r>
          </w:p>
        </w:tc>
        <w:tc>
          <w:tcPr>
            <w:tcW w:type="dxa" w:w="4320"/>
          </w:tcPr>
          <w:p>
            <w:r>
              <w:t>Supports team vs team without elimination</w:t>
            </w:r>
          </w:p>
        </w:tc>
      </w:tr>
      <w:tr>
        <w:tc>
          <w:tcPr>
            <w:tcW w:type="dxa" w:w="4320"/>
          </w:tcPr>
          <w:p>
            <w:r>
              <w:t>Sand timer</w:t>
            </w:r>
          </w:p>
        </w:tc>
        <w:tc>
          <w:tcPr>
            <w:tcW w:type="dxa" w:w="4320"/>
          </w:tcPr>
          <w:p>
            <w:r>
              <w:t>Relay and speed rounds</w:t>
            </w:r>
          </w:p>
        </w:tc>
      </w:tr>
      <w:tr>
        <w:tc>
          <w:tcPr>
            <w:tcW w:type="dxa" w:w="4320"/>
          </w:tcPr>
          <w:p>
            <w:r>
              <w:t>Hue Spirit booklet</w:t>
            </w:r>
          </w:p>
        </w:tc>
        <w:tc>
          <w:tcPr>
            <w:tcW w:type="dxa" w:w="4320"/>
          </w:tcPr>
          <w:p>
            <w:r>
              <w:t>Rules, tone variants for family/party/workplace</w:t>
            </w:r>
          </w:p>
        </w:tc>
      </w:tr>
      <w:tr>
        <w:tc>
          <w:tcPr>
            <w:tcW w:type="dxa" w:w="4320"/>
          </w:tcPr>
          <w:p>
            <w:r>
              <w:t>QR to app</w:t>
            </w:r>
          </w:p>
        </w:tc>
        <w:tc>
          <w:tcPr>
            <w:tcW w:type="dxa" w:w="4320"/>
          </w:tcPr>
          <w:p>
            <w:r>
              <w:t>Unlocks bonus missions; cross-sell digital Expedition</w:t>
            </w:r>
          </w:p>
        </w:tc>
      </w:tr>
    </w:tbl>
    <w:p/>
    <w:p>
      <w:r>
        <w:t>Target MSRP for Hunt-Hue Box: USD 24.99–29.99. Pre-order / Kickstarter aligned with digital soft launch (Q4 FY2026). Margin complements digital IAP and ad-free passes without requiring screen time for core gameplay.</w:t>
      </w:r>
    </w:p>
    <w:p>
      <w:pPr>
        <w:pStyle w:val="Heading1"/>
      </w:pPr>
      <w:r>
        <w:rPr>
          <w:rFonts w:ascii="Calibri" w:hAnsi="Calibri"/>
          <w:color w:val="6B21A8"/>
        </w:rPr>
        <w:t>Innovation Wedge &amp; Untapped Opportunity</w:t>
      </w:r>
    </w:p>
    <w:p>
      <w:r>
        <w:t>Competitors cluster in three buckets—solo colour puzzles, GPS/AR outdoor hunts, and unstructured I Spy. None own the indoor, multi-audience, device-optional scavenger niche with a retail box and B2B mission packs. Hue Hunt’s defensible angle is mission taxonomy + tone decks + physical SKU in one IP.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Untapped edge (market gap)</w:t>
            </w:r>
          </w:p>
        </w:tc>
        <w:tc>
          <w:tcPr>
            <w:tcW w:type="dxa" w:w="2880"/>
          </w:tcPr>
          <w:p>
            <w:r>
              <w:rPr>
                <w:b/>
              </w:rPr>
              <w:t>Why incumbents miss it</w:t>
            </w:r>
          </w:p>
        </w:tc>
        <w:tc>
          <w:tcPr>
            <w:tcW w:type="dxa" w:w="2880"/>
          </w:tcPr>
          <w:p>
            <w:r>
              <w:rPr>
                <w:b/>
              </w:rPr>
              <w:t>Hue Hunt response</w:t>
            </w:r>
          </w:p>
        </w:tc>
      </w:tr>
      <w:tr>
        <w:tc>
          <w:tcPr>
            <w:tcW w:type="dxa" w:w="2880"/>
          </w:tcPr>
          <w:p>
            <w:r>
              <w:t>“Colour quiz” fatigue</w:t>
            </w:r>
          </w:p>
        </w:tc>
        <w:tc>
          <w:tcPr>
            <w:tcW w:type="dxa" w:w="2880"/>
          </w:tcPr>
          <w:p>
            <w:r>
              <w:t>Flat swatches feel like homework, not a party</w:t>
            </w:r>
          </w:p>
        </w:tc>
        <w:tc>
          <w:tcPr>
            <w:tcW w:type="dxa" w:w="2880"/>
          </w:tcPr>
          <w:p>
            <w:r>
              <w:t>Object/texture/combo hunts; colour only in Forge/Echo</w:t>
            </w:r>
          </w:p>
        </w:tc>
      </w:tr>
      <w:tr>
        <w:tc>
          <w:tcPr>
            <w:tcW w:type="dxa" w:w="2880"/>
          </w:tcPr>
          <w:p>
            <w:r>
              <w:t>Phones required</w:t>
            </w:r>
          </w:p>
        </w:tc>
        <w:tc>
          <w:tcPr>
            <w:tcW w:type="dxa" w:w="2880"/>
          </w:tcPr>
          <w:p>
            <w:r>
              <w:t>Most party apps exclude phone-free hosts</w:t>
            </w:r>
          </w:p>
        </w:tc>
        <w:tc>
          <w:tcPr>
            <w:tcW w:type="dxa" w:w="2880"/>
          </w:tcPr>
          <w:p>
            <w:r>
              <w:t>Hunt-Hue Box plays tabletop-only; app optional</w:t>
            </w:r>
          </w:p>
        </w:tc>
      </w:tr>
      <w:tr>
        <w:tc>
          <w:tcPr>
            <w:tcW w:type="dxa" w:w="2880"/>
          </w:tcPr>
          <w:p>
            <w:r>
              <w:t>Kids vs adults split</w:t>
            </w:r>
          </w:p>
        </w:tc>
        <w:tc>
          <w:tcPr>
            <w:tcW w:type="dxa" w:w="2880"/>
          </w:tcPr>
          <w:p>
            <w:r>
              <w:t>Family apps feel childish to teens</w:t>
            </w:r>
          </w:p>
        </w:tc>
        <w:tc>
          <w:tcPr>
            <w:tcW w:type="dxa" w:w="2880"/>
          </w:tcPr>
          <w:p>
            <w:r>
              <w:t>Friends/Party modes with same engine</w:t>
            </w:r>
          </w:p>
        </w:tc>
      </w:tr>
      <w:tr>
        <w:tc>
          <w:tcPr>
            <w:tcW w:type="dxa" w:w="2880"/>
          </w:tcPr>
          <w:p>
            <w:r>
              <w:t>Workplace appropriateness</w:t>
            </w:r>
          </w:p>
        </w:tc>
        <w:tc>
          <w:tcPr>
            <w:tcW w:type="dxa" w:w="2880"/>
          </w:tcPr>
          <w:p>
            <w:r>
              <w:t>Charades too silly; escape rooms too expensive</w:t>
            </w:r>
          </w:p>
        </w:tc>
        <w:tc>
          <w:tcPr>
            <w:tcW w:type="dxa" w:w="2880"/>
          </w:tcPr>
          <w:p>
            <w:r>
              <w:t>Team Expedition neutral copy + 15-min bracket</w:t>
            </w:r>
          </w:p>
        </w:tc>
      </w:tr>
      <w:tr>
        <w:tc>
          <w:tcPr>
            <w:tcW w:type="dxa" w:w="2880"/>
          </w:tcPr>
          <w:p>
            <w:r>
              <w:t>Venue monetization</w:t>
            </w:r>
          </w:p>
        </w:tc>
        <w:tc>
          <w:tcPr>
            <w:tcW w:type="dxa" w:w="2880"/>
          </w:tcPr>
          <w:p>
            <w:r>
              <w:t>Museums want turnover, not bespoke app builds</w:t>
            </w:r>
          </w:p>
        </w:tc>
        <w:tc>
          <w:tcPr>
            <w:tcW w:type="dxa" w:w="2880"/>
          </w:tcPr>
          <w:p>
            <w:r>
              <w:t>Sponsored object missions + white-label decks (v1.1)</w:t>
            </w:r>
          </w:p>
        </w:tc>
      </w:tr>
      <w:tr>
        <w:tc>
          <w:tcPr>
            <w:tcW w:type="dxa" w:w="2880"/>
          </w:tcPr>
          <w:p>
            <w:r>
              <w:t>Host-led rental economy</w:t>
            </w:r>
          </w:p>
        </w:tc>
        <w:tc>
          <w:tcPr>
            <w:tcW w:type="dxa" w:w="2880"/>
          </w:tcPr>
          <w:p>
            <w:r>
              <w:t>Airbnb / event hosts want plug-and-play games</w:t>
            </w:r>
          </w:p>
        </w:tc>
        <w:tc>
          <w:tcPr>
            <w:tcW w:type="dxa" w:w="2880"/>
          </w:tcPr>
          <w:p>
            <w:r>
              <w:t>Host Kit: box + QR + 10-minute setup script</w:t>
            </w:r>
          </w:p>
        </w:tc>
      </w:tr>
      <w:tr>
        <w:tc>
          <w:tcPr>
            <w:tcW w:type="dxa" w:w="2880"/>
          </w:tcPr>
          <w:p>
            <w:r>
              <w:t>Retail discovery</w:t>
            </w:r>
          </w:p>
        </w:tc>
        <w:tc>
          <w:tcPr>
            <w:tcW w:type="dxa" w:w="2880"/>
          </w:tcPr>
          <w:p>
            <w:r>
              <w:t>Digital-only games lack giftability</w:t>
            </w:r>
          </w:p>
        </w:tc>
        <w:tc>
          <w:tcPr>
            <w:tcW w:type="dxa" w:w="2880"/>
          </w:tcPr>
          <w:p>
            <w:r>
              <w:t>Box MSRP $24.99–29.99 beside party games</w:t>
            </w:r>
          </w:p>
        </w:tc>
      </w:tr>
    </w:tbl>
    <w:p/>
    <w:p>
      <w:pPr>
        <w:pStyle w:val="Heading1"/>
      </w:pPr>
      <w:r>
        <w:rPr>
          <w:rFonts w:ascii="Calibri" w:hAnsi="Calibri"/>
          <w:color w:val="6B21A8"/>
        </w:rPr>
        <w:t>B2B &amp; Fast Client Acquisition</w:t>
      </w:r>
    </w:p>
    <w:p>
      <w:r>
        <w:t>Management prioritizes revenue paths that do not require mass consumer UA first. The following motions are designed to land paying clients and distribution partners within 90 days of soft launch.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Channel</w:t>
            </w:r>
          </w:p>
        </w:tc>
        <w:tc>
          <w:tcPr>
            <w:tcW w:type="dxa" w:w="2160"/>
          </w:tcPr>
          <w:p>
            <w:r>
              <w:rPr>
                <w:b/>
              </w:rPr>
              <w:t>Offer</w:t>
            </w:r>
          </w:p>
        </w:tc>
        <w:tc>
          <w:tcPr>
            <w:tcW w:type="dxa" w:w="2160"/>
          </w:tcPr>
          <w:p>
            <w:r>
              <w:rPr>
                <w:b/>
              </w:rPr>
              <w:t>Sales cycle</w:t>
            </w:r>
          </w:p>
        </w:tc>
        <w:tc>
          <w:tcPr>
            <w:tcW w:type="dxa" w:w="2160"/>
          </w:tcPr>
          <w:p>
            <w:r>
              <w:rPr>
                <w:b/>
              </w:rPr>
              <w:t>FY26 target</w:t>
            </w:r>
          </w:p>
        </w:tc>
      </w:tr>
      <w:tr>
        <w:tc>
          <w:tcPr>
            <w:tcW w:type="dxa" w:w="2160"/>
          </w:tcPr>
          <w:p>
            <w:r>
              <w:t>Corporate Team Kits</w:t>
            </w:r>
          </w:p>
        </w:tc>
        <w:tc>
          <w:tcPr>
            <w:tcW w:type="dxa" w:w="2160"/>
          </w:tcPr>
          <w:p>
            <w:r>
              <w:t>Team Expedition + printable certificate; 20–50 seat licenses</w:t>
            </w:r>
          </w:p>
        </w:tc>
        <w:tc>
          <w:tcPr>
            <w:tcW w:type="dxa" w:w="2160"/>
          </w:tcPr>
          <w:p>
            <w:r>
              <w:t>2–4 weeks</w:t>
            </w:r>
          </w:p>
        </w:tc>
        <w:tc>
          <w:tcPr>
            <w:tcW w:type="dxa" w:w="2160"/>
          </w:tcPr>
          <w:p>
            <w:r>
              <w:t>5 pilot companies</w:t>
            </w:r>
          </w:p>
        </w:tc>
      </w:tr>
      <w:tr>
        <w:tc>
          <w:tcPr>
            <w:tcW w:type="dxa" w:w="2160"/>
          </w:tcPr>
          <w:p>
            <w:r>
              <w:t>Venue / museum packs</w:t>
            </w:r>
          </w:p>
        </w:tc>
        <w:tc>
          <w:tcPr>
            <w:tcW w:type="dxa" w:w="2160"/>
          </w:tcPr>
          <w:p>
            <w:r>
              <w:t>20-card sponsored object mission deck + QR wall</w:t>
            </w:r>
          </w:p>
        </w:tc>
        <w:tc>
          <w:tcPr>
            <w:tcW w:type="dxa" w:w="2160"/>
          </w:tcPr>
          <w:p>
            <w:r>
              <w:t>4–8 weeks</w:t>
            </w:r>
          </w:p>
        </w:tc>
        <w:tc>
          <w:tcPr>
            <w:tcW w:type="dxa" w:w="2160"/>
          </w:tcPr>
          <w:p>
            <w:r>
              <w:t>2 signed LOIs</w:t>
            </w:r>
          </w:p>
        </w:tc>
      </w:tr>
      <w:tr>
        <w:tc>
          <w:tcPr>
            <w:tcW w:type="dxa" w:w="2160"/>
          </w:tcPr>
          <w:p>
            <w:r>
              <w:t>Hospitality Host Bundle</w:t>
            </w:r>
          </w:p>
        </w:tc>
        <w:tc>
          <w:tcPr>
            <w:tcW w:type="dxa" w:w="2160"/>
          </w:tcPr>
          <w:p>
            <w:r>
              <w:t>Hunt-Hue Box + host script for Airbnb experience hosts</w:t>
            </w:r>
          </w:p>
        </w:tc>
        <w:tc>
          <w:tcPr>
            <w:tcW w:type="dxa" w:w="2160"/>
          </w:tcPr>
          <w:p>
            <w:r>
              <w:t>Self-serve + Amazon</w:t>
            </w:r>
          </w:p>
        </w:tc>
        <w:tc>
          <w:tcPr>
            <w:tcW w:type="dxa" w:w="2160"/>
          </w:tcPr>
          <w:p>
            <w:r>
              <w:t>500 boxes MOQ</w:t>
            </w:r>
          </w:p>
        </w:tc>
      </w:tr>
      <w:tr>
        <w:tc>
          <w:tcPr>
            <w:tcW w:type="dxa" w:w="2160"/>
          </w:tcPr>
          <w:p>
            <w:r>
              <w:t>School / after-school</w:t>
            </w:r>
          </w:p>
        </w:tc>
        <w:tc>
          <w:tcPr>
            <w:tcW w:type="dxa" w:w="2160"/>
          </w:tcPr>
          <w:p>
            <w:r>
              <w:t>Kids Co-Op picture clues; COPPA-safe, no camera</w:t>
            </w:r>
          </w:p>
        </w:tc>
        <w:tc>
          <w:tcPr>
            <w:tcW w:type="dxa" w:w="2160"/>
          </w:tcPr>
          <w:p>
            <w:r>
              <w:t>District pilot</w:t>
            </w:r>
          </w:p>
        </w:tc>
        <w:tc>
          <w:tcPr>
            <w:tcW w:type="dxa" w:w="2160"/>
          </w:tcPr>
          <w:p>
            <w:r>
              <w:t>3 classrooms</w:t>
            </w:r>
          </w:p>
        </w:tc>
      </w:tr>
      <w:tr>
        <w:tc>
          <w:tcPr>
            <w:tcW w:type="dxa" w:w="2160"/>
          </w:tcPr>
          <w:p>
            <w:r>
              <w:t>Influencer seeding</w:t>
            </w:r>
          </w:p>
        </w:tc>
        <w:tc>
          <w:tcPr>
            <w:tcW w:type="dxa" w:w="2160"/>
          </w:tcPr>
          <w:p>
            <w:r>
              <w:t>Party Mission clips; #HueHuntParty challenge</w:t>
            </w:r>
          </w:p>
        </w:tc>
        <w:tc>
          <w:tcPr>
            <w:tcW w:type="dxa" w:w="2160"/>
          </w:tcPr>
          <w:p>
            <w:r>
              <w:t>Ongoing</w:t>
            </w:r>
          </w:p>
        </w:tc>
        <w:tc>
          <w:tcPr>
            <w:tcW w:type="dxa" w:w="2160"/>
          </w:tcPr>
          <w:p>
            <w:r>
              <w:t>50 creators</w:t>
            </w:r>
          </w:p>
        </w:tc>
      </w:tr>
      <w:tr>
        <w:tc>
          <w:tcPr>
            <w:tcW w:type="dxa" w:w="2160"/>
          </w:tcPr>
          <w:p>
            <w:r>
              <w:t>NovaLumina cross-promo</w:t>
            </w:r>
          </w:p>
        </w:tc>
        <w:tc>
          <w:tcPr>
            <w:tcW w:type="dxa" w:w="2160"/>
          </w:tcPr>
          <w:p>
            <w:r>
              <w:t>Bundle quest in Quantum Color Sort / Chroma Drop</w:t>
            </w:r>
          </w:p>
        </w:tc>
        <w:tc>
          <w:tcPr>
            <w:tcW w:type="dxa" w:w="2160"/>
          </w:tcPr>
          <w:p>
            <w:r>
              <w:t>Immediate</w:t>
            </w:r>
          </w:p>
        </w:tc>
        <w:tc>
          <w:tcPr>
            <w:tcW w:type="dxa" w:w="2160"/>
          </w:tcPr>
          <w:p>
            <w:r>
              <w:t>Portfolio lift</w:t>
            </w:r>
          </w:p>
        </w:tc>
      </w:tr>
    </w:tbl>
    <w:p/>
    <w:p>
      <w:pPr>
        <w:pStyle w:val="ListBullet"/>
      </w:pPr>
      <w:r>
        <w:t>Pilot pricing: Team Kit USD 199/event (digital) + optional box at wholesale.</w:t>
      </w:r>
    </w:p>
    <w:p>
      <w:pPr>
        <w:pStyle w:val="ListBullet"/>
      </w:pPr>
      <w:r>
        <w:t>Venue sponsor missions: USD 2,500–8,000 per seasonal pack (object-led, brand-safe).</w:t>
      </w:r>
    </w:p>
    <w:p>
      <w:pPr>
        <w:pStyle w:val="ListBullet"/>
      </w:pPr>
      <w:r>
        <w:t>Kickstarter / pre-order for Hunt-Hue Box funds print MOQ without diluting equity story.</w:t>
      </w:r>
    </w:p>
    <w:p>
      <w:pPr>
        <w:pStyle w:val="Heading1"/>
      </w:pPr>
      <w:r>
        <w:rPr>
          <w:rFonts w:ascii="Calibri" w:hAnsi="Calibri"/>
          <w:color w:val="6B21A8"/>
        </w:rPr>
        <w:t>Business Strategy &amp; Revenue Acceleration</w:t>
      </w:r>
    </w:p>
    <w:p>
      <w:r>
        <w:t>Management’s go-to-market strategy prioritises paying clients and distribution partners before scaling paid consumer user acquisition. All motions share one mission content pipeline (JSON decks) across app, Hunt-Hue Box, and B2B white-label packs. Full operational detail appears in Product Roadmap NL-HH-RM-2026-002 (Untapped Wedge, Innovation Backlog, Edge Cases).</w:t>
      </w:r>
    </w:p>
    <w:p>
      <w:pPr>
        <w:pStyle w:val="Heading2"/>
      </w:pPr>
      <w:r>
        <w:rPr>
          <w:rFonts w:ascii="Calibri" w:hAnsi="Calibri"/>
        </w:rPr>
        <w:t>Fastest Client Paths (Ordered Funnel)</w:t>
      </w:r>
    </w:p>
    <w:p>
      <w:r>
        <w:t>The following sequence is the approved revenue-acceleration path for FY2026–27. Each stage de-risks the next and produces case studies for investors and retail buyers.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Priority</w:t>
            </w:r>
          </w:p>
        </w:tc>
        <w:tc>
          <w:tcPr>
            <w:tcW w:type="dxa" w:w="1728"/>
          </w:tcPr>
          <w:p>
            <w:r>
              <w:rPr>
                <w:b/>
              </w:rPr>
              <w:t>Motion</w:t>
            </w:r>
          </w:p>
        </w:tc>
        <w:tc>
          <w:tcPr>
            <w:tcW w:type="dxa" w:w="1728"/>
          </w:tcPr>
          <w:p>
            <w:r>
              <w:rPr>
                <w:b/>
              </w:rPr>
              <w:t>Buyer</w:t>
            </w:r>
          </w:p>
        </w:tc>
        <w:tc>
          <w:tcPr>
            <w:tcW w:type="dxa" w:w="1728"/>
          </w:tcPr>
          <w:p>
            <w:r>
              <w:rPr>
                <w:b/>
              </w:rPr>
              <w:t>Asset</w:t>
            </w:r>
          </w:p>
        </w:tc>
        <w:tc>
          <w:tcPr>
            <w:tcW w:type="dxa" w:w="1728"/>
          </w:tcPr>
          <w:p>
            <w:r>
              <w:rPr>
                <w:b/>
              </w:rPr>
              <w:t>Typical time to revenue</w:t>
            </w:r>
          </w:p>
        </w:tc>
      </w:tr>
      <w:tr>
        <w:tc>
          <w:tcPr>
            <w:tcW w:type="dxa" w:w="1728"/>
          </w:tcPr>
          <w:p>
            <w:r>
              <w:t>1</w:t>
            </w:r>
          </w:p>
        </w:tc>
        <w:tc>
          <w:tcPr>
            <w:tcW w:type="dxa" w:w="1728"/>
          </w:tcPr>
          <w:p>
            <w:r>
              <w:t>Corporate Team Kits</w:t>
            </w:r>
          </w:p>
        </w:tc>
        <w:tc>
          <w:tcPr>
            <w:tcW w:type="dxa" w:w="1728"/>
          </w:tcPr>
          <w:p>
            <w:r>
              <w:t>HR, retreat planners, team leads</w:t>
            </w:r>
          </w:p>
        </w:tc>
        <w:tc>
          <w:tcPr>
            <w:tcW w:type="dxa" w:w="1728"/>
          </w:tcPr>
          <w:p>
            <w:r>
              <w:t>Team Expedition + certificate + optional boxes</w:t>
            </w:r>
          </w:p>
        </w:tc>
        <w:tc>
          <w:tcPr>
            <w:tcW w:type="dxa" w:w="1728"/>
          </w:tcPr>
          <w:p>
            <w:r>
              <w:t>2–4 weeks</w:t>
            </w:r>
          </w:p>
        </w:tc>
      </w:tr>
      <w:tr>
        <w:tc>
          <w:tcPr>
            <w:tcW w:type="dxa" w:w="1728"/>
          </w:tcPr>
          <w:p>
            <w:r>
              <w:t>2</w:t>
            </w:r>
          </w:p>
        </w:tc>
        <w:tc>
          <w:tcPr>
            <w:tcW w:type="dxa" w:w="1728"/>
          </w:tcPr>
          <w:p>
            <w:r>
              <w:t>Venue sponsor decks</w:t>
            </w:r>
          </w:p>
        </w:tc>
        <w:tc>
          <w:tcPr>
            <w:tcW w:type="dxa" w:w="1728"/>
          </w:tcPr>
          <w:p>
            <w:r>
              <w:t>Museums, festivals, attractions</w:t>
            </w:r>
          </w:p>
        </w:tc>
        <w:tc>
          <w:tcPr>
            <w:tcW w:type="dxa" w:w="1728"/>
          </w:tcPr>
          <w:p>
            <w:r>
              <w:t>20-card object mission pack + QR activation</w:t>
            </w:r>
          </w:p>
        </w:tc>
        <w:tc>
          <w:tcPr>
            <w:tcW w:type="dxa" w:w="1728"/>
          </w:tcPr>
          <w:p>
            <w:r>
              <w:t>4–8 weeks</w:t>
            </w:r>
          </w:p>
        </w:tc>
      </w:tr>
      <w:tr>
        <w:tc>
          <w:tcPr>
            <w:tcW w:type="dxa" w:w="1728"/>
          </w:tcPr>
          <w:p>
            <w:r>
              <w:t>3</w:t>
            </w:r>
          </w:p>
        </w:tc>
        <w:tc>
          <w:tcPr>
            <w:tcW w:type="dxa" w:w="1728"/>
          </w:tcPr>
          <w:p>
            <w:r>
              <w:t>Hunt-Hue Box pre-order</w:t>
            </w:r>
          </w:p>
        </w:tc>
        <w:tc>
          <w:tcPr>
            <w:tcW w:type="dxa" w:w="1728"/>
          </w:tcPr>
          <w:p>
            <w:r>
              <w:t>Consumers, hosts, gift buyers</w:t>
            </w:r>
          </w:p>
        </w:tc>
        <w:tc>
          <w:tcPr>
            <w:tcW w:type="dxa" w:w="1728"/>
          </w:tcPr>
          <w:p>
            <w:r>
              <w:t>48-card SKU + Kickstarter / Amazon</w:t>
            </w:r>
          </w:p>
        </w:tc>
        <w:tc>
          <w:tcPr>
            <w:tcW w:type="dxa" w:w="1728"/>
          </w:tcPr>
          <w:p>
            <w:r>
              <w:t>Q3–Q4 FY26</w:t>
            </w:r>
          </w:p>
        </w:tc>
      </w:tr>
      <w:tr>
        <w:tc>
          <w:tcPr>
            <w:tcW w:type="dxa" w:w="1728"/>
          </w:tcPr>
          <w:p>
            <w:r>
              <w:t>4</w:t>
            </w:r>
          </w:p>
        </w:tc>
        <w:tc>
          <w:tcPr>
            <w:tcW w:type="dxa" w:w="1728"/>
          </w:tcPr>
          <w:p>
            <w:r>
              <w:t>School pilots</w:t>
            </w:r>
          </w:p>
        </w:tc>
        <w:tc>
          <w:tcPr>
            <w:tcW w:type="dxa" w:w="1728"/>
          </w:tcPr>
          <w:p>
            <w:r>
              <w:t>After-school, classrooms</w:t>
            </w:r>
          </w:p>
        </w:tc>
        <w:tc>
          <w:tcPr>
            <w:tcW w:type="dxa" w:w="1728"/>
          </w:tcPr>
          <w:p>
            <w:r>
              <w:t>Kids Co-Op; COPPA-safe; no camera</w:t>
            </w:r>
          </w:p>
        </w:tc>
        <w:tc>
          <w:tcPr>
            <w:tcW w:type="dxa" w:w="1728"/>
          </w:tcPr>
          <w:p>
            <w:r>
              <w:t>4–12 weeks</w:t>
            </w:r>
          </w:p>
        </w:tc>
      </w:tr>
      <w:tr>
        <w:tc>
          <w:tcPr>
            <w:tcW w:type="dxa" w:w="1728"/>
          </w:tcPr>
          <w:p>
            <w:r>
              <w:t>5</w:t>
            </w:r>
          </w:p>
        </w:tc>
        <w:tc>
          <w:tcPr>
            <w:tcW w:type="dxa" w:w="1728"/>
          </w:tcPr>
          <w:p>
            <w:r>
              <w:t>Portfolio cross-promo</w:t>
            </w:r>
          </w:p>
        </w:tc>
        <w:tc>
          <w:tcPr>
            <w:tcW w:type="dxa" w:w="1728"/>
          </w:tcPr>
          <w:p>
            <w:r>
              <w:t>Existing NovaLumina players</w:t>
            </w:r>
          </w:p>
        </w:tc>
        <w:tc>
          <w:tcPr>
            <w:tcW w:type="dxa" w:w="1728"/>
          </w:tcPr>
          <w:p>
            <w:r>
              <w:t>Quantum Color Sort / Chroma Drop funnel</w:t>
            </w:r>
          </w:p>
        </w:tc>
        <w:tc>
          <w:tcPr>
            <w:tcW w:type="dxa" w:w="1728"/>
          </w:tcPr>
          <w:p>
            <w:r>
              <w:t>Immediate</w:t>
            </w:r>
          </w:p>
        </w:tc>
      </w:tr>
    </w:tbl>
    <w:p/>
    <w:p>
      <w:pPr>
        <w:pStyle w:val="Heading2"/>
      </w:pPr>
      <w:r>
        <w:rPr>
          <w:rFonts w:ascii="Calibri" w:hAnsi="Calibri"/>
        </w:rPr>
        <w:t>Core Product Pillars (Investor &amp; Retail Narrative)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Pillar</w:t>
            </w:r>
          </w:p>
        </w:tc>
        <w:tc>
          <w:tcPr>
            <w:tcW w:type="dxa" w:w="2880"/>
          </w:tcPr>
          <w:p>
            <w:r>
              <w:rPr>
                <w:b/>
              </w:rPr>
              <w:t>What it means</w:t>
            </w:r>
          </w:p>
        </w:tc>
        <w:tc>
          <w:tcPr>
            <w:tcW w:type="dxa" w:w="2880"/>
          </w:tcPr>
          <w:p>
            <w:r>
              <w:rPr>
                <w:b/>
              </w:rPr>
              <w:t>Why it wins</w:t>
            </w:r>
          </w:p>
        </w:tc>
      </w:tr>
      <w:tr>
        <w:tc>
          <w:tcPr>
            <w:tcW w:type="dxa" w:w="2880"/>
          </w:tcPr>
          <w:p>
            <w:r>
              <w:t>Real object prompts in any room</w:t>
            </w:r>
          </w:p>
        </w:tc>
        <w:tc>
          <w:tcPr>
            <w:tcW w:type="dxa" w:w="2880"/>
          </w:tcPr>
          <w:p>
            <w:r>
              <w:t>Hunt missions describe things to find—not hex codes</w:t>
            </w:r>
          </w:p>
        </w:tc>
        <w:tc>
          <w:tcPr>
            <w:tcW w:type="dxa" w:w="2880"/>
          </w:tcPr>
          <w:p>
            <w:r>
              <w:t>Works in every home; funnier than colour quizzes</w:t>
            </w:r>
          </w:p>
        </w:tc>
      </w:tr>
      <w:tr>
        <w:tc>
          <w:tcPr>
            <w:tcW w:type="dxa" w:w="2880"/>
          </w:tcPr>
          <w:p>
            <w:r>
              <w:t>Hunt-Hue Box = tabletop-only</w:t>
            </w:r>
          </w:p>
        </w:tc>
        <w:tc>
          <w:tcPr>
            <w:tcW w:type="dxa" w:w="2880"/>
          </w:tcPr>
          <w:p>
            <w:r>
              <w:t>Play with zero phones; optional app scorekeeper</w:t>
            </w:r>
          </w:p>
        </w:tc>
        <w:tc>
          <w:tcPr>
            <w:tcW w:type="dxa" w:w="2880"/>
          </w:tcPr>
          <w:p>
            <w:r>
              <w:t>Unblocks hosts, schools, workplaces</w:t>
            </w:r>
          </w:p>
        </w:tc>
      </w:tr>
      <w:tr>
        <w:tc>
          <w:tcPr>
            <w:tcW w:type="dxa" w:w="2880"/>
          </w:tcPr>
          <w:p>
            <w:r>
              <w:t>Teams, scoring, map, retail SKU</w:t>
            </w:r>
          </w:p>
        </w:tc>
        <w:tc>
          <w:tcPr>
            <w:tcW w:type="dxa" w:w="2880"/>
          </w:tcPr>
          <w:p>
            <w:r>
              <w:t>2–4 squads, Chroma Map, giftable box</w:t>
            </w:r>
          </w:p>
        </w:tc>
        <w:tc>
          <w:tcPr>
            <w:tcW w:type="dxa" w:w="2880"/>
          </w:tcPr>
          <w:p>
            <w:r>
              <w:t>Monetisable beyond free I Spy</w:t>
            </w:r>
          </w:p>
        </w:tc>
      </w:tr>
      <w:tr>
        <w:tc>
          <w:tcPr>
            <w:tcW w:type="dxa" w:w="2880"/>
          </w:tcPr>
          <w:p>
            <w:r>
              <w:t>15-min Team Expedition + Team Kit</w:t>
            </w:r>
          </w:p>
        </w:tc>
        <w:tc>
          <w:tcPr>
            <w:tcW w:type="dxa" w:w="2880"/>
          </w:tcPr>
          <w:p>
            <w:r>
              <w:t>Neutral copy; bracket format; B2B license</w:t>
            </w:r>
          </w:p>
        </w:tc>
        <w:tc>
          <w:tcPr>
            <w:tcW w:type="dxa" w:w="2880"/>
          </w:tcPr>
          <w:p>
            <w:r>
              <w:t>Fits corporate calendar</w:t>
            </w:r>
          </w:p>
        </w:tc>
      </w:tr>
      <w:tr>
        <w:tc>
          <w:tcPr>
            <w:tcW w:type="dxa" w:w="2880"/>
          </w:tcPr>
          <w:p>
            <w:r>
              <w:t>Sponsored object decks (same JSON)</w:t>
            </w:r>
          </w:p>
        </w:tc>
        <w:tc>
          <w:tcPr>
            <w:tcW w:type="dxa" w:w="2880"/>
          </w:tcPr>
          <w:p>
            <w:r>
              <w:t>Brand-safe missions from one content factory</w:t>
            </w:r>
          </w:p>
        </w:tc>
        <w:tc>
          <w:tcPr>
            <w:tcW w:type="dxa" w:w="2880"/>
          </w:tcPr>
          <w:p>
            <w:r>
              <w:t>Venue/CPG revenue without rebuild</w:t>
            </w:r>
          </w:p>
        </w:tc>
      </w:tr>
      <w:tr>
        <w:tc>
          <w:tcPr>
            <w:tcW w:type="dxa" w:w="2880"/>
          </w:tcPr>
          <w:p>
            <w:r>
              <w:t>Host bundle + 10-min script</w:t>
            </w:r>
          </w:p>
        </w:tc>
        <w:tc>
          <w:tcPr>
            <w:tcW w:type="dxa" w:w="2880"/>
          </w:tcPr>
          <w:p>
            <w:r>
              <w:t>Airbnb / hospitality plug-and-play</w:t>
            </w:r>
          </w:p>
        </w:tc>
        <w:tc>
          <w:tcPr>
            <w:tcW w:type="dxa" w:w="2880"/>
          </w:tcPr>
          <w:p>
            <w:r>
              <w:t>Distribution without sales team</w:t>
            </w:r>
          </w:p>
        </w:tc>
      </w:tr>
    </w:tbl>
    <w:p/>
    <w:p>
      <w:pPr>
        <w:pStyle w:val="Heading2"/>
      </w:pPr>
      <w:r>
        <w:rPr>
          <w:rFonts w:ascii="Calibri" w:hAnsi="Calibri"/>
        </w:rPr>
        <w:t>Untapped Wedge &amp; Fast Client Paths (Summary)</w:t>
      </w:r>
    </w:p>
    <w:p>
      <w:r>
        <w:t>Six wedges with buyer, asset, and time-to-revenue (see Roadmap for full specification):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Wedge</w:t>
            </w:r>
          </w:p>
        </w:tc>
        <w:tc>
          <w:tcPr>
            <w:tcW w:type="dxa" w:w="1728"/>
          </w:tcPr>
          <w:p>
            <w:r>
              <w:rPr>
                <w:b/>
              </w:rPr>
              <w:t>Buyer / user</w:t>
            </w:r>
          </w:p>
        </w:tc>
        <w:tc>
          <w:tcPr>
            <w:tcW w:type="dxa" w:w="1728"/>
          </w:tcPr>
          <w:p>
            <w:r>
              <w:rPr>
                <w:b/>
              </w:rPr>
              <w:t>Hue Hunt asset</w:t>
            </w:r>
          </w:p>
        </w:tc>
        <w:tc>
          <w:tcPr>
            <w:tcW w:type="dxa" w:w="1728"/>
          </w:tcPr>
          <w:p>
            <w:r>
              <w:rPr>
                <w:b/>
              </w:rPr>
              <w:t>Time to revenue</w:t>
            </w:r>
          </w:p>
        </w:tc>
      </w:tr>
      <w:tr>
        <w:tc>
          <w:tcPr>
            <w:tcW w:type="dxa" w:w="1728"/>
          </w:tcPr>
          <w:p>
            <w:r>
              <w:t>1</w:t>
            </w:r>
          </w:p>
        </w:tc>
        <w:tc>
          <w:tcPr>
            <w:tcW w:type="dxa" w:w="1728"/>
          </w:tcPr>
          <w:p>
            <w:r>
              <w:t>Structured indoor scavenger</w:t>
            </w:r>
          </w:p>
        </w:tc>
        <w:tc>
          <w:tcPr>
            <w:tcW w:type="dxa" w:w="1728"/>
          </w:tcPr>
          <w:p>
            <w:r>
              <w:t>Party hosts, families</w:t>
            </w:r>
          </w:p>
        </w:tc>
        <w:tc>
          <w:tcPr>
            <w:tcW w:type="dxa" w:w="1728"/>
          </w:tcPr>
          <w:p>
            <w:r>
              <w:t>Hunt-Hue Box + app</w:t>
            </w:r>
          </w:p>
        </w:tc>
        <w:tc>
          <w:tcPr>
            <w:tcW w:type="dxa" w:w="1728"/>
          </w:tcPr>
          <w:p>
            <w:r>
              <w:t>Immediate</w:t>
            </w:r>
          </w:p>
        </w:tc>
      </w:tr>
      <w:tr>
        <w:tc>
          <w:tcPr>
            <w:tcW w:type="dxa" w:w="1728"/>
          </w:tcPr>
          <w:p>
            <w:r>
              <w:t>2</w:t>
            </w:r>
          </w:p>
        </w:tc>
        <w:tc>
          <w:tcPr>
            <w:tcW w:type="dxa" w:w="1728"/>
          </w:tcPr>
          <w:p>
            <w:r>
              <w:t>15-min team building</w:t>
            </w:r>
          </w:p>
        </w:tc>
        <w:tc>
          <w:tcPr>
            <w:tcW w:type="dxa" w:w="1728"/>
          </w:tcPr>
          <w:p>
            <w:r>
              <w:t>HR, retreat planners</w:t>
            </w:r>
          </w:p>
        </w:tc>
        <w:tc>
          <w:tcPr>
            <w:tcW w:type="dxa" w:w="1728"/>
          </w:tcPr>
          <w:p>
            <w:r>
              <w:t>Team Expedition Kit</w:t>
            </w:r>
          </w:p>
        </w:tc>
        <w:tc>
          <w:tcPr>
            <w:tcW w:type="dxa" w:w="1728"/>
          </w:tcPr>
          <w:p>
            <w:r>
              <w:t>2–4 weeks</w:t>
            </w:r>
          </w:p>
        </w:tc>
      </w:tr>
      <w:tr>
        <w:tc>
          <w:tcPr>
            <w:tcW w:type="dxa" w:w="1728"/>
          </w:tcPr>
          <w:p>
            <w:r>
              <w:t>3</w:t>
            </w:r>
          </w:p>
        </w:tc>
        <w:tc>
          <w:tcPr>
            <w:tcW w:type="dxa" w:w="1728"/>
          </w:tcPr>
          <w:p>
            <w:r>
              <w:t>Venue activation</w:t>
            </w:r>
          </w:p>
        </w:tc>
        <w:tc>
          <w:tcPr>
            <w:tcW w:type="dxa" w:w="1728"/>
          </w:tcPr>
          <w:p>
            <w:r>
              <w:t>Museums, festivals</w:t>
            </w:r>
          </w:p>
        </w:tc>
        <w:tc>
          <w:tcPr>
            <w:tcW w:type="dxa" w:w="1728"/>
          </w:tcPr>
          <w:p>
            <w:r>
              <w:t>Sponsored object deck + QR</w:t>
            </w:r>
          </w:p>
        </w:tc>
        <w:tc>
          <w:tcPr>
            <w:tcW w:type="dxa" w:w="1728"/>
          </w:tcPr>
          <w:p>
            <w:r>
              <w:t>4–8 weeks</w:t>
            </w:r>
          </w:p>
        </w:tc>
      </w:tr>
      <w:tr>
        <w:tc>
          <w:tcPr>
            <w:tcW w:type="dxa" w:w="1728"/>
          </w:tcPr>
          <w:p>
            <w:r>
              <w:t>4</w:t>
            </w:r>
          </w:p>
        </w:tc>
        <w:tc>
          <w:tcPr>
            <w:tcW w:type="dxa" w:w="1728"/>
          </w:tcPr>
          <w:p>
            <w:r>
              <w:t>Host economy</w:t>
            </w:r>
          </w:p>
        </w:tc>
        <w:tc>
          <w:tcPr>
            <w:tcW w:type="dxa" w:w="1728"/>
          </w:tcPr>
          <w:p>
            <w:r>
              <w:t>Airbnb experience hosts</w:t>
            </w:r>
          </w:p>
        </w:tc>
        <w:tc>
          <w:tcPr>
            <w:tcW w:type="dxa" w:w="1728"/>
          </w:tcPr>
          <w:p>
            <w:r>
              <w:t>Host bundle + box wholesale</w:t>
            </w:r>
          </w:p>
        </w:tc>
        <w:tc>
          <w:tcPr>
            <w:tcW w:type="dxa" w:w="1728"/>
          </w:tcPr>
          <w:p>
            <w:r>
              <w:t>Self-serve</w:t>
            </w:r>
          </w:p>
        </w:tc>
      </w:tr>
      <w:tr>
        <w:tc>
          <w:tcPr>
            <w:tcW w:type="dxa" w:w="1728"/>
          </w:tcPr>
          <w:p>
            <w:r>
              <w:t>5</w:t>
            </w:r>
          </w:p>
        </w:tc>
        <w:tc>
          <w:tcPr>
            <w:tcW w:type="dxa" w:w="1728"/>
          </w:tcPr>
          <w:p>
            <w:r>
              <w:t>Device-optional trust</w:t>
            </w:r>
          </w:p>
        </w:tc>
        <w:tc>
          <w:tcPr>
            <w:tcW w:type="dxa" w:w="1728"/>
          </w:tcPr>
          <w:p>
            <w:r>
              <w:t>Schools, workplaces</w:t>
            </w:r>
          </w:p>
        </w:tc>
        <w:tc>
          <w:tcPr>
            <w:tcW w:type="dxa" w:w="1728"/>
          </w:tcPr>
          <w:p>
            <w:r>
              <w:t>Manual confirm; camera off</w:t>
            </w:r>
          </w:p>
        </w:tc>
        <w:tc>
          <w:tcPr>
            <w:tcW w:type="dxa" w:w="1728"/>
          </w:tcPr>
          <w:p>
            <w:r>
              <w:t>Compliance win</w:t>
            </w:r>
          </w:p>
        </w:tc>
      </w:tr>
      <w:tr>
        <w:tc>
          <w:tcPr>
            <w:tcW w:type="dxa" w:w="1728"/>
          </w:tcPr>
          <w:p>
            <w:r>
              <w:t>6</w:t>
            </w:r>
          </w:p>
        </w:tc>
        <w:tc>
          <w:tcPr>
            <w:tcW w:type="dxa" w:w="1728"/>
          </w:tcPr>
          <w:p>
            <w:r>
              <w:t>Giftable retail SKU</w:t>
            </w:r>
          </w:p>
        </w:tc>
        <w:tc>
          <w:tcPr>
            <w:tcW w:type="dxa" w:w="1728"/>
          </w:tcPr>
          <w:p>
            <w:r>
              <w:t>Holiday, housewarming</w:t>
            </w:r>
          </w:p>
        </w:tc>
        <w:tc>
          <w:tcPr>
            <w:tcW w:type="dxa" w:w="1728"/>
          </w:tcPr>
          <w:p>
            <w:r>
              <w:t>Box on party aisle</w:t>
            </w:r>
          </w:p>
        </w:tc>
        <w:tc>
          <w:tcPr>
            <w:tcW w:type="dxa" w:w="1728"/>
          </w:tcPr>
          <w:p>
            <w:r>
              <w:t>Q4 FY26 season</w:t>
            </w:r>
          </w:p>
        </w:tc>
      </w:tr>
    </w:tbl>
    <w:p/>
    <w:p>
      <w:pPr>
        <w:pStyle w:val="Heading2"/>
      </w:pPr>
      <w:r>
        <w:rPr>
          <w:rFonts w:ascii="Calibri" w:hAnsi="Calibri"/>
        </w:rPr>
        <w:t>Innovation Backlog (Post v1.0)</w:t>
      </w:r>
    </w:p>
    <w:p>
      <w:pPr>
        <w:pStyle w:val="ListBullet"/>
      </w:pPr>
      <w:r>
        <w:t>Venue Mission Builder — sponsor uploads object prompts; auto-generates print + app deck.</w:t>
      </w:r>
    </w:p>
    <w:p>
      <w:pPr>
        <w:pStyle w:val="ListBullet"/>
      </w:pPr>
      <w:r>
        <w:t>Host Mode — single iPad, large-type prompts for dinner parties (no scores).</w:t>
      </w:r>
    </w:p>
    <w:p>
      <w:pPr>
        <w:pStyle w:val="ListBullet"/>
      </w:pPr>
      <w:r>
        <w:t>Async Couch Link — friends hunt same weekend; merge scores on Chroma Map.</w:t>
      </w:r>
    </w:p>
    <w:p>
      <w:pPr>
        <w:pStyle w:val="ListBullet"/>
      </w:pPr>
      <w:r>
        <w:t>Seasonal box expansions — Office Pack, Holiday Pack, Wedding Pack (same rules core).</w:t>
      </w:r>
    </w:p>
    <w:p>
      <w:pPr>
        <w:pStyle w:val="ListBullet"/>
      </w:pPr>
      <w:r>
        <w:t>Chroma Deck power cards — earned in-app; optional inclusion in box v2.</w:t>
      </w:r>
    </w:p>
    <w:p>
      <w:pPr>
        <w:pStyle w:val="Heading2"/>
      </w:pPr>
      <w:r>
        <w:rPr>
          <w:rFonts w:ascii="Calibri" w:hAnsi="Calibri"/>
        </w:rPr>
        <w:t>Edge Cases, GTM &amp; Design Responses (Summary)</w:t>
      </w:r>
    </w:p>
    <w:p>
      <w:r>
        <w:t>Fourteen edge cases are registered in the Product Roadmap. Highlights that accelerate market entry and client conversations:</w:t>
      </w:r>
    </w:p>
    <w:tbl>
      <w:tblPr>
        <w:tblStyle w:val="TableGrid"/>
        <w:tblW w:type="auto" w:w="0"/>
        <w:tblLook w:firstColumn="1" w:firstRow="1" w:lastColumn="0" w:lastRow="0" w:noHBand="0" w:noVBand="1" w:val="04A0"/>
      </w:tblPr>
      <w:tblGrid>
        <w:gridCol w:w="4320"/>
        <w:gridCol w:w="4320"/>
      </w:tblGrid>
      <w:tr>
        <w:tc>
          <w:tcPr>
            <w:tcW w:type="dxa" w:w="4320"/>
          </w:tcPr>
          <w:p>
            <w:r>
              <w:rPr>
                <w:b/>
              </w:rPr>
              <w:t>Edge case</w:t>
            </w:r>
          </w:p>
        </w:tc>
        <w:tc>
          <w:tcPr>
            <w:tcW w:type="dxa" w:w="4320"/>
          </w:tcPr>
          <w:p>
            <w:r>
              <w:rPr>
                <w:b/>
              </w:rPr>
              <w:t>GTM / design response</w:t>
            </w:r>
          </w:p>
        </w:tc>
      </w:tr>
      <w:tr>
        <w:tc>
          <w:tcPr>
            <w:tcW w:type="dxa" w:w="4320"/>
          </w:tcPr>
          <w:p>
            <w:r>
              <w:t>Colour swatch feels fake</w:t>
            </w:r>
          </w:p>
        </w:tc>
        <w:tc>
          <w:tcPr>
            <w:tcW w:type="dxa" w:w="4320"/>
          </w:tcPr>
          <w:p>
            <w:r>
              <w:t>Object/texture/combo hunts only (v1.0 shipped)</w:t>
            </w:r>
          </w:p>
        </w:tc>
      </w:tr>
      <w:tr>
        <w:tc>
          <w:tcPr>
            <w:tcW w:type="dxa" w:w="4320"/>
          </w:tcPr>
          <w:p>
            <w:r>
              <w:t>Camera banned at work/school</w:t>
            </w:r>
          </w:p>
        </w:tc>
        <w:tc>
          <w:tcPr>
            <w:tcW w:type="dxa" w:w="4320"/>
          </w:tcPr>
          <w:p>
            <w:r>
              <w:t>Party/Team/Box camera-off by default</w:t>
            </w:r>
          </w:p>
        </w:tc>
      </w:tr>
      <w:tr>
        <w:tc>
          <w:tcPr>
            <w:tcW w:type="dxa" w:w="4320"/>
          </w:tcPr>
          <w:p>
            <w:r>
              <w:t>Host has zero devices</w:t>
            </w:r>
          </w:p>
        </w:tc>
        <w:tc>
          <w:tcPr>
            <w:tcW w:type="dxa" w:w="4320"/>
          </w:tcPr>
          <w:p>
            <w:r>
              <w:t>Hunt-Hue Box tabletop-only; printable rules PDF</w:t>
            </w:r>
          </w:p>
        </w:tc>
      </w:tr>
      <w:tr>
        <w:tc>
          <w:tcPr>
            <w:tcW w:type="dxa" w:w="4320"/>
          </w:tcPr>
          <w:p>
            <w:r>
              <w:t>HR needs quick ROI proof</w:t>
            </w:r>
          </w:p>
        </w:tc>
        <w:tc>
          <w:tcPr>
            <w:tcW w:type="dxa" w:w="4320"/>
          </w:tcPr>
          <w:p>
            <w:r>
              <w:t>Team Kit: 15-min pilot + certificate template</w:t>
            </w:r>
          </w:p>
        </w:tc>
      </w:tr>
      <w:tr>
        <w:tc>
          <w:tcPr>
            <w:tcW w:type="dxa" w:w="4320"/>
          </w:tcPr>
          <w:p>
            <w:r>
              <w:t>Venue fear of brand cringe</w:t>
            </w:r>
          </w:p>
        </w:tc>
        <w:tc>
          <w:tcPr>
            <w:tcW w:type="dxa" w:w="4320"/>
          </w:tcPr>
          <w:p>
            <w:r>
              <w:t>Object missions, not quiz ads</w:t>
            </w:r>
          </w:p>
        </w:tc>
      </w:tr>
      <w:tr>
        <w:tc>
          <w:tcPr>
            <w:tcW w:type="dxa" w:w="4320"/>
          </w:tcPr>
          <w:p>
            <w:r>
              <w:t>Airbnb host setup friction</w:t>
            </w:r>
          </w:p>
        </w:tc>
        <w:tc>
          <w:tcPr>
            <w:tcW w:type="dxa" w:w="4320"/>
          </w:tcPr>
          <w:p>
            <w:r>
              <w:t>Host bundle + 10-minute setup script</w:t>
            </w:r>
          </w:p>
        </w:tc>
      </w:tr>
      <w:tr>
        <w:tc>
          <w:tcPr>
            <w:tcW w:type="dxa" w:w="4320"/>
          </w:tcPr>
          <w:p>
            <w:r>
              <w:t>Retail needs gift story</w:t>
            </w:r>
          </w:p>
        </w:tc>
        <w:tc>
          <w:tcPr>
            <w:tcW w:type="dxa" w:w="4320"/>
          </w:tcPr>
          <w:p>
            <w:r>
              <w:t>Box MSRP + seasonal expansions + Kickstarter</w:t>
            </w:r>
          </w:p>
        </w:tc>
      </w:tr>
      <w:tr>
        <w:tc>
          <w:tcPr>
            <w:tcW w:type="dxa" w:w="4320"/>
          </w:tcPr>
          <w:p>
            <w:r>
              <w:t>Compared to free I Spy</w:t>
            </w:r>
          </w:p>
        </w:tc>
        <w:tc>
          <w:tcPr>
            <w:tcW w:type="dxa" w:w="4320"/>
          </w:tcPr>
          <w:p>
            <w:r>
              <w:t>Teams, scoring, map, retail SKU, B2B packs</w:t>
            </w:r>
          </w:p>
        </w:tc>
      </w:tr>
      <w:tr>
        <w:tc>
          <w:tcPr>
            <w:tcW w:type="dxa" w:w="4320"/>
          </w:tcPr>
          <w:p>
            <w:r>
              <w:t>Party disputes on finds</w:t>
            </w:r>
          </w:p>
        </w:tc>
        <w:tc>
          <w:tcPr>
            <w:tcW w:type="dxa" w:w="4320"/>
          </w:tcPr>
          <w:p>
            <w:r>
              <w:t>Group confirm; trust-based (no majority vote)</w:t>
            </w:r>
          </w:p>
        </w:tc>
      </w:tr>
      <w:tr>
        <w:tc>
          <w:tcPr>
            <w:tcW w:type="dxa" w:w="4320"/>
          </w:tcPr>
          <w:p>
            <w:r>
              <w:t>Kids Co-Op blame</w:t>
            </w:r>
          </w:p>
        </w:tc>
        <w:tc>
          <w:tcPr>
            <w:tcW w:type="dxa" w:w="4320"/>
          </w:tcPr>
          <w:p>
            <w:r>
              <w:t>Shared meter only; no individual blame UI</w:t>
            </w:r>
          </w:p>
        </w:tc>
      </w:tr>
      <w:tr>
        <w:tc>
          <w:tcPr>
            <w:tcW w:type="dxa" w:w="4320"/>
          </w:tcPr>
          <w:p>
            <w:r>
              <w:t>One phone in large group</w:t>
            </w:r>
          </w:p>
        </w:tc>
        <w:tc>
          <w:tcPr>
            <w:tcW w:type="dxa" w:w="4320"/>
          </w:tcPr>
          <w:p>
            <w:r>
              <w:t>Pass-device + single scorekeeper</w:t>
            </w:r>
          </w:p>
        </w:tc>
      </w:tr>
      <w:tr>
        <w:tc>
          <w:tcPr>
            <w:tcW w:type="dxa" w:w="4320"/>
          </w:tcPr>
          <w:p>
            <w:r>
              <w:t>Impossible indoor mission</w:t>
            </w:r>
          </w:p>
        </w:tc>
        <w:tc>
          <w:tcPr>
            <w:tcW w:type="dxa" w:w="4320"/>
          </w:tcPr>
          <w:p>
            <w:r>
              <w:t>Curated indoor-safe object prompts</w:t>
            </w:r>
          </w:p>
        </w:tc>
      </w:tr>
      <w:tr>
        <w:tc>
          <w:tcPr>
            <w:tcW w:type="dxa" w:w="4320"/>
          </w:tcPr>
          <w:p>
            <w:r>
              <w:t>Alcohol at adult party</w:t>
            </w:r>
          </w:p>
        </w:tc>
        <w:tc>
          <w:tcPr>
            <w:tcW w:type="dxa" w:w="4320"/>
          </w:tcPr>
          <w:p>
            <w:r>
              <w:t>No gallery save; share card only</w:t>
            </w:r>
          </w:p>
        </w:tc>
      </w:tr>
      <w:tr>
        <w:tc>
          <w:tcPr>
            <w:tcW w:type="dxa" w:w="4320"/>
          </w:tcPr>
          <w:p>
            <w:r>
              <w:t>Poor lighting / ML</w:t>
            </w:r>
          </w:p>
        </w:tc>
        <w:tc>
          <w:tcPr>
            <w:tcW w:type="dxa" w:w="4320"/>
          </w:tcPr>
          <w:p>
            <w:r>
              <w:t>ML deferred to v1.1; manual confirm always wins</w:t>
            </w:r>
          </w:p>
        </w:tc>
      </w:tr>
    </w:tbl>
    <w:p/>
    <w:p>
      <w:pPr>
        <w:pStyle w:val="Heading1"/>
      </w:pPr>
      <w:r>
        <w:rPr>
          <w:rFonts w:ascii="Calibri" w:hAnsi="Calibri"/>
          <w:color w:val="6B21A8"/>
        </w:rPr>
        <w:t>Target Audience and Use-Case Framework</w:t>
      </w:r>
    </w:p>
    <w:p>
      <w:r>
        <w:t>NovaLumina Studio designs each title within a unified Social Play Framework: short-session, shared-screen experiences optimised for any group that gathers around a single mobile device. Titles are intentionally architected to serve intergenerational families, groups of friends, social and party settings, professional colleagues (team-building and icebreaker contexts), and children playing cooperatively with peers—not a single demographic niche.</w:t>
      </w:r>
    </w:p>
    <w:p>
      <w:r>
        <w:t>Hue Hunt is explicitly designed so a group of friends at a barbecue, colleagues at a conference social, or children at a birthday party can complete the same mission structure with tone-appropriate presentation. Adult party missions emphasise speed and humour; workplace missions use professional copy; family missions retain gentle coaching and optional parental gates.</w:t>
      </w:r>
    </w:p>
    <w:p>
      <w:pPr>
        <w:pStyle w:val="Heading2"/>
      </w:pPr>
      <w:r>
        <w:rPr>
          <w:rFonts w:ascii="Calibri" w:hAnsi="Calibri"/>
        </w:rPr>
        <w:t>Primary Audience Segments</w:t>
      </w:r>
    </w:p>
    <w:tbl>
      <w:tblPr>
        <w:tblStyle w:val="TableGrid"/>
        <w:tblW w:type="auto" w:w="0"/>
        <w:tblLook w:firstColumn="1" w:firstRow="1" w:lastColumn="0" w:lastRow="0" w:noHBand="0" w:noVBand="1" w:val="04A0"/>
      </w:tblPr>
      <w:tblGrid>
        <w:gridCol w:w="4320"/>
        <w:gridCol w:w="4320"/>
      </w:tblGrid>
      <w:tr>
        <w:tc>
          <w:tcPr>
            <w:tcW w:type="dxa" w:w="4320"/>
          </w:tcPr>
          <w:p>
            <w:r>
              <w:rPr>
                <w:b/>
              </w:rPr>
              <w:t>Segment</w:t>
            </w:r>
          </w:p>
        </w:tc>
        <w:tc>
          <w:tcPr>
            <w:tcW w:type="dxa" w:w="4320"/>
          </w:tcPr>
          <w:p>
            <w:r>
              <w:rPr>
                <w:b/>
              </w:rPr>
              <w:t>Description and Design Implications</w:t>
            </w:r>
          </w:p>
        </w:tc>
      </w:tr>
      <w:tr>
        <w:tc>
          <w:tcPr>
            <w:tcW w:type="dxa" w:w="4320"/>
          </w:tcPr>
          <w:p>
            <w:r>
              <w:t>Intergenerational &amp; Family Units</w:t>
            </w:r>
          </w:p>
        </w:tc>
        <w:tc>
          <w:tcPr>
            <w:tcW w:type="dxa" w:w="4320"/>
          </w:tcPr>
          <w:p>
            <w:r>
              <w:t>Parents, guardians, grandparents, and children sharing one device; asymmetric difficulty so mixed skill levels remain engaging.</w:t>
            </w:r>
          </w:p>
        </w:tc>
      </w:tr>
      <w:tr>
        <w:tc>
          <w:tcPr>
            <w:tcW w:type="dxa" w:w="4320"/>
          </w:tcPr>
          <w:p>
            <w:r>
              <w:t>Friend &amp; Peer Groups</w:t>
            </w:r>
          </w:p>
        </w:tc>
        <w:tc>
          <w:tcPr>
            <w:tcW w:type="dxa" w:w="4320"/>
          </w:tcPr>
          <w:p>
            <w:r>
              <w:t>Teen and adult friends in casual, competitive-cooperative, or pass-and-play configurations; optimised for sofas, cafés, and transit.</w:t>
            </w:r>
          </w:p>
        </w:tc>
      </w:tr>
      <w:tr>
        <w:tc>
          <w:tcPr>
            <w:tcW w:type="dxa" w:w="4320"/>
          </w:tcPr>
          <w:p>
            <w:r>
              <w:t>Social &amp; Party Contexts</w:t>
            </w:r>
          </w:p>
        </w:tc>
        <w:tc>
          <w:tcPr>
            <w:tcW w:type="dxa" w:w="4320"/>
          </w:tcPr>
          <w:p>
            <w:r>
              <w:t>Adults in informal gatherings, celebrations, or nightlife-adjacent settings seeking low-friction group entertainment without complex rules.</w:t>
            </w:r>
          </w:p>
        </w:tc>
      </w:tr>
      <w:tr>
        <w:tc>
          <w:tcPr>
            <w:tcW w:type="dxa" w:w="4320"/>
          </w:tcPr>
          <w:p>
            <w:r>
              <w:t>Professional &amp; Colleague Settings</w:t>
            </w:r>
          </w:p>
        </w:tc>
        <w:tc>
          <w:tcPr>
            <w:tcW w:type="dxa" w:w="4320"/>
          </w:tcPr>
          <w:p>
            <w:r>
              <w:t>Workplace teams, conferences, and onboarding icebreakers; session length and tone configurable for corporate-appropriate play.</w:t>
            </w:r>
          </w:p>
        </w:tc>
      </w:tr>
      <w:tr>
        <w:tc>
          <w:tcPr>
            <w:tcW w:type="dxa" w:w="4320"/>
          </w:tcPr>
          <w:p>
            <w:r>
              <w:t>Children &amp; Peer Co-Play</w:t>
            </w:r>
          </w:p>
        </w:tc>
        <w:tc>
          <w:tcPr>
            <w:tcW w:type="dxa" w:w="4320"/>
          </w:tcPr>
          <w:p>
            <w:r>
              <w:t>Siblings and classmates in cooperative (non-toxic) modes; COPPA-aligned defaults with optional adult-supervised profiles.</w:t>
            </w:r>
          </w:p>
        </w:tc>
      </w:tr>
    </w:tbl>
    <w:p/>
    <w:p>
      <w:pPr>
        <w:pStyle w:val="Heading2"/>
      </w:pPr>
      <w:r>
        <w:rPr>
          <w:rFonts w:ascii="Calibri" w:hAnsi="Calibri"/>
        </w:rPr>
        <w:t>Session Context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Context</w:t>
            </w:r>
          </w:p>
        </w:tc>
        <w:tc>
          <w:tcPr>
            <w:tcW w:type="dxa" w:w="2160"/>
          </w:tcPr>
          <w:p>
            <w:r>
              <w:rPr>
                <w:b/>
              </w:rPr>
              <w:t>Typical Group</w:t>
            </w:r>
          </w:p>
        </w:tc>
        <w:tc>
          <w:tcPr>
            <w:tcW w:type="dxa" w:w="2160"/>
          </w:tcPr>
          <w:p>
            <w:r>
              <w:rPr>
                <w:b/>
              </w:rPr>
              <w:t>Session Length</w:t>
            </w:r>
          </w:p>
        </w:tc>
        <w:tc>
          <w:tcPr>
            <w:tcW w:type="dxa" w:w="2160"/>
          </w:tcPr>
          <w:p>
            <w:r>
              <w:rPr>
                <w:b/>
              </w:rPr>
              <w:t>Product Design Response</w:t>
            </w:r>
          </w:p>
        </w:tc>
      </w:tr>
      <w:tr>
        <w:tc>
          <w:tcPr>
            <w:tcW w:type="dxa" w:w="2160"/>
          </w:tcPr>
          <w:p>
            <w:r>
              <w:t>Home &amp; family</w:t>
            </w:r>
          </w:p>
        </w:tc>
        <w:tc>
          <w:tcPr>
            <w:tcW w:type="dxa" w:w="2160"/>
          </w:tcPr>
          <w:p>
            <w:r>
              <w:t>Parents, children, relatives</w:t>
            </w:r>
          </w:p>
        </w:tc>
        <w:tc>
          <w:tcPr>
            <w:tcW w:type="dxa" w:w="2160"/>
          </w:tcPr>
          <w:p>
            <w:r>
              <w:t>5–15 min</w:t>
            </w:r>
          </w:p>
        </w:tc>
        <w:tc>
          <w:tcPr>
            <w:tcW w:type="dxa" w:w="2160"/>
          </w:tcPr>
          <w:p>
            <w:r>
              <w:t>Asymmetric roles; gentle onboarding</w:t>
            </w:r>
          </w:p>
        </w:tc>
      </w:tr>
      <w:tr>
        <w:tc>
          <w:tcPr>
            <w:tcW w:type="dxa" w:w="2160"/>
          </w:tcPr>
          <w:p>
            <w:r>
              <w:t>Friends (casual)</w:t>
            </w:r>
          </w:p>
        </w:tc>
        <w:tc>
          <w:tcPr>
            <w:tcW w:type="dxa" w:w="2160"/>
          </w:tcPr>
          <w:p>
            <w:r>
              <w:t>Teens and adults, 2–6 players</w:t>
            </w:r>
          </w:p>
        </w:tc>
        <w:tc>
          <w:tcPr>
            <w:tcW w:type="dxa" w:w="2160"/>
          </w:tcPr>
          <w:p>
            <w:r>
              <w:t>3–10 min</w:t>
            </w:r>
          </w:p>
        </w:tc>
        <w:tc>
          <w:tcPr>
            <w:tcW w:type="dxa" w:w="2160"/>
          </w:tcPr>
          <w:p>
            <w:r>
              <w:t>Pass-and-play; light competition</w:t>
            </w:r>
          </w:p>
        </w:tc>
      </w:tr>
      <w:tr>
        <w:tc>
          <w:tcPr>
            <w:tcW w:type="dxa" w:w="2160"/>
          </w:tcPr>
          <w:p>
            <w:r>
              <w:t>Party &amp; social</w:t>
            </w:r>
          </w:p>
        </w:tc>
        <w:tc>
          <w:tcPr>
            <w:tcW w:type="dxa" w:w="2160"/>
          </w:tcPr>
          <w:p>
            <w:r>
              <w:t>Adults celebrating or socialising</w:t>
            </w:r>
          </w:p>
        </w:tc>
        <w:tc>
          <w:tcPr>
            <w:tcW w:type="dxa" w:w="2160"/>
          </w:tcPr>
          <w:p>
            <w:r>
              <w:t>2–5 min rounds</w:t>
            </w:r>
          </w:p>
        </w:tc>
        <w:tc>
          <w:tcPr>
            <w:tcW w:type="dxa" w:w="2160"/>
          </w:tcPr>
          <w:p>
            <w:r>
              <w:t>High energy; instant restart</w:t>
            </w:r>
          </w:p>
        </w:tc>
      </w:tr>
      <w:tr>
        <w:tc>
          <w:tcPr>
            <w:tcW w:type="dxa" w:w="2160"/>
          </w:tcPr>
          <w:p>
            <w:r>
              <w:t>Workplace</w:t>
            </w:r>
          </w:p>
        </w:tc>
        <w:tc>
          <w:tcPr>
            <w:tcW w:type="dxa" w:w="2160"/>
          </w:tcPr>
          <w:p>
            <w:r>
              <w:t>Colleagues, teams, events</w:t>
            </w:r>
          </w:p>
        </w:tc>
        <w:tc>
          <w:tcPr>
            <w:tcW w:type="dxa" w:w="2160"/>
          </w:tcPr>
          <w:p>
            <w:r>
              <w:t>5–10 min</w:t>
            </w:r>
          </w:p>
        </w:tc>
        <w:tc>
          <w:tcPr>
            <w:tcW w:type="dxa" w:w="2160"/>
          </w:tcPr>
          <w:p>
            <w:r>
              <w:t>Neutral tone mode; no mature themes</w:t>
            </w:r>
          </w:p>
        </w:tc>
      </w:tr>
      <w:tr>
        <w:tc>
          <w:tcPr>
            <w:tcW w:type="dxa" w:w="2160"/>
          </w:tcPr>
          <w:p>
            <w:r>
              <w:t>Kids together</w:t>
            </w:r>
          </w:p>
        </w:tc>
        <w:tc>
          <w:tcPr>
            <w:tcW w:type="dxa" w:w="2160"/>
          </w:tcPr>
          <w:p>
            <w:r>
              <w:t>Siblings, classmates</w:t>
            </w:r>
          </w:p>
        </w:tc>
        <w:tc>
          <w:tcPr>
            <w:tcW w:type="dxa" w:w="2160"/>
          </w:tcPr>
          <w:p>
            <w:r>
              <w:t>10–20 min</w:t>
            </w:r>
          </w:p>
        </w:tc>
        <w:tc>
          <w:tcPr>
            <w:tcW w:type="dxa" w:w="2160"/>
          </w:tcPr>
          <w:p>
            <w:r>
              <w:t>Cooperative scoring; safe defaults</w:t>
            </w:r>
          </w:p>
        </w:tc>
      </w:tr>
    </w:tbl>
    <w:p/>
    <w:p>
      <w:pPr>
        <w:pStyle w:val="Heading1"/>
      </w:pPr>
      <w:r>
        <w:rPr>
          <w:rFonts w:ascii="Calibri" w:hAnsi="Calibri"/>
          <w:color w:val="6B21A8"/>
        </w:rPr>
        <w:t>Market Analysis</w:t>
      </w:r>
    </w:p>
    <w:p>
      <w:r>
        <w:t>Three converging trends support launch: (i) accountable screen time and device-optional play; (ii) experience-based social entertainment post-pandemic; (iii) brands seeking activations that work indoors without AR infrastructure. Hue Hunt competes for party-game shelf space and corporate engagement budgets—not only kids’ educational keywords.</w:t>
      </w:r>
    </w:p>
    <w:p>
      <w:r>
        <w:t>TAM reference: global party/board game retail ~USD 15B; family mobile co-play segment fragmented. SAM: English-language indoor social games + team-building kits. SOM Year 1: 50k app MAU, 5k box units, 10 B2B venue/corporate contracts.</w:t>
      </w:r>
    </w:p>
    <w:p>
      <w:pPr>
        <w:pStyle w:val="Heading1"/>
      </w:pPr>
      <w:r>
        <w:rPr>
          <w:rFonts w:ascii="Calibri" w:hAnsi="Calibri"/>
          <w:color w:val="6B21A8"/>
        </w:rPr>
        <w:t>Organisational and Operational Plan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Function</w:t>
            </w:r>
          </w:p>
        </w:tc>
        <w:tc>
          <w:tcPr>
            <w:tcW w:type="dxa" w:w="2880"/>
          </w:tcPr>
          <w:p>
            <w:r>
              <w:rPr>
                <w:b/>
              </w:rPr>
              <w:t>Requirement</w:t>
            </w:r>
          </w:p>
        </w:tc>
        <w:tc>
          <w:tcPr>
            <w:tcW w:type="dxa" w:w="2880"/>
          </w:tcPr>
          <w:p>
            <w:r>
              <w:rPr>
                <w:b/>
              </w:rPr>
              <w:t>Accountable Party</w:t>
            </w:r>
          </w:p>
        </w:tc>
      </w:tr>
      <w:tr>
        <w:tc>
          <w:tcPr>
            <w:tcW w:type="dxa" w:w="2880"/>
          </w:tcPr>
          <w:p>
            <w:r>
              <w:t>Product Management</w:t>
            </w:r>
          </w:p>
        </w:tc>
        <w:tc>
          <w:tcPr>
            <w:tcW w:type="dxa" w:w="2880"/>
          </w:tcPr>
          <w:p>
            <w:r>
              <w:t>Roadmap, milestone governance, stakeholder reporting</w:t>
            </w:r>
          </w:p>
        </w:tc>
        <w:tc>
          <w:tcPr>
            <w:tcW w:type="dxa" w:w="2880"/>
          </w:tcPr>
          <w:p>
            <w:r>
              <w:t>NovaLumina leadership</w:t>
            </w:r>
          </w:p>
        </w:tc>
      </w:tr>
      <w:tr>
        <w:tc>
          <w:tcPr>
            <w:tcW w:type="dxa" w:w="2880"/>
          </w:tcPr>
          <w:p>
            <w:r>
              <w:t>Engineering</w:t>
            </w:r>
          </w:p>
        </w:tc>
        <w:tc>
          <w:tcPr>
            <w:tcW w:type="dxa" w:w="2880"/>
          </w:tcPr>
          <w:p>
            <w:r>
              <w:t>Flutter cross-platform delivery; CI/CD; store compliance</w:t>
            </w:r>
          </w:p>
        </w:tc>
        <w:tc>
          <w:tcPr>
            <w:tcW w:type="dxa" w:w="2880"/>
          </w:tcPr>
          <w:p>
            <w:r>
              <w:t>Technical Director</w:t>
            </w:r>
          </w:p>
        </w:tc>
      </w:tr>
      <w:tr>
        <w:tc>
          <w:tcPr>
            <w:tcW w:type="dxa" w:w="2880"/>
          </w:tcPr>
          <w:p>
            <w:r>
              <w:t>Quality Assurance</w:t>
            </w:r>
          </w:p>
        </w:tc>
        <w:tc>
          <w:tcPr>
            <w:tcW w:type="dxa" w:w="2880"/>
          </w:tcPr>
          <w:p>
            <w:r>
              <w:t>Device matrix; social-play playtesting across audience segments</w:t>
            </w:r>
          </w:p>
        </w:tc>
        <w:tc>
          <w:tcPr>
            <w:tcW w:type="dxa" w:w="2880"/>
          </w:tcPr>
          <w:p>
            <w:r>
              <w:t>QA lead</w:t>
            </w:r>
          </w:p>
        </w:tc>
      </w:tr>
      <w:tr>
        <w:tc>
          <w:tcPr>
            <w:tcW w:type="dxa" w:w="2880"/>
          </w:tcPr>
          <w:p>
            <w:r>
              <w:t>Analytics</w:t>
            </w:r>
          </w:p>
        </w:tc>
        <w:tc>
          <w:tcPr>
            <w:tcW w:type="dxa" w:w="2880"/>
          </w:tcPr>
          <w:p>
            <w:r>
              <w:t>Firebase; cohort retention by session context</w:t>
            </w:r>
          </w:p>
        </w:tc>
        <w:tc>
          <w:tcPr>
            <w:tcW w:type="dxa" w:w="2880"/>
          </w:tcPr>
          <w:p>
            <w:r>
              <w:t>Engineering</w:t>
            </w:r>
          </w:p>
        </w:tc>
      </w:tr>
      <w:tr>
        <w:tc>
          <w:tcPr>
            <w:tcW w:type="dxa" w:w="2880"/>
          </w:tcPr>
          <w:p>
            <w:r>
              <w:t>Legal &amp; Compliance</w:t>
            </w:r>
          </w:p>
        </w:tc>
        <w:tc>
          <w:tcPr>
            <w:tcW w:type="dxa" w:w="2880"/>
          </w:tcPr>
          <w:p>
            <w:r>
              <w:t>Privacy, Terms, COPPA/Families, GDPR</w:t>
            </w:r>
          </w:p>
        </w:tc>
        <w:tc>
          <w:tcPr>
            <w:tcW w:type="dxa" w:w="2880"/>
          </w:tcPr>
          <w:p>
            <w:r>
              <w:t>Company counsel</w:t>
            </w:r>
          </w:p>
        </w:tc>
      </w:tr>
      <w:tr>
        <w:tc>
          <w:tcPr>
            <w:tcW w:type="dxa" w:w="2880"/>
          </w:tcPr>
          <w:p>
            <w:r>
              <w:t>Publishing</w:t>
            </w:r>
          </w:p>
        </w:tc>
        <w:tc>
          <w:tcPr>
            <w:tcW w:type="dxa" w:w="2880"/>
          </w:tcPr>
          <w:p>
            <w:r>
              <w:t>App Store Connect, Play Console, AdMob certification</w:t>
            </w:r>
          </w:p>
        </w:tc>
        <w:tc>
          <w:tcPr>
            <w:tcW w:type="dxa" w:w="2880"/>
          </w:tcPr>
          <w:p>
            <w:r>
              <w:t>Publishing lead</w:t>
            </w:r>
          </w:p>
        </w:tc>
      </w:tr>
      <w:tr>
        <w:tc>
          <w:tcPr>
            <w:tcW w:type="dxa" w:w="2880"/>
          </w:tcPr>
          <w:p>
            <w:r>
              <w:t>Marketing</w:t>
            </w:r>
          </w:p>
        </w:tc>
        <w:tc>
          <w:tcPr>
            <w:tcW w:type="dxa" w:w="2880"/>
          </w:tcPr>
          <w:p>
            <w:r>
              <w:t>ASO, UA, influencer, B2B partnership pipeline</w:t>
            </w:r>
          </w:p>
        </w:tc>
        <w:tc>
          <w:tcPr>
            <w:tcW w:type="dxa" w:w="2880"/>
          </w:tcPr>
          <w:p>
            <w:r>
              <w:t>Marketing</w:t>
            </w:r>
          </w:p>
        </w:tc>
      </w:tr>
    </w:tbl>
    <w:p/>
    <w:p>
      <w:pPr>
        <w:pStyle w:val="Heading1"/>
      </w:pPr>
      <w:r>
        <w:rPr>
          <w:rFonts w:ascii="Calibri" w:hAnsi="Calibri"/>
          <w:color w:val="6B21A8"/>
        </w:rPr>
        <w:t>Financial Overview</w:t>
      </w:r>
    </w:p>
    <w:p>
      <w:pPr>
        <w:pStyle w:val="Heading2"/>
      </w:pPr>
      <w:r>
        <w:rPr>
          <w:rFonts w:ascii="Calibri" w:hAnsi="Calibri"/>
        </w:rPr>
        <w:t>Development Budget (Q2–Q4 FY2026)</w:t>
      </w:r>
    </w:p>
    <w:tbl>
      <w:tblPr>
        <w:tblStyle w:val="TableGrid"/>
        <w:tblW w:type="auto" w:w="0"/>
        <w:tblLook w:firstColumn="1" w:firstRow="1" w:lastColumn="0" w:lastRow="0" w:noHBand="0" w:noVBand="1" w:val="04A0"/>
      </w:tblPr>
      <w:tblGrid>
        <w:gridCol w:w="4320"/>
        <w:gridCol w:w="4320"/>
      </w:tblGrid>
      <w:tr>
        <w:tc>
          <w:tcPr>
            <w:tcW w:type="dxa" w:w="4320"/>
          </w:tcPr>
          <w:p>
            <w:r>
              <w:rPr>
                <w:b/>
              </w:rPr>
              <w:t>Cost Category</w:t>
            </w:r>
          </w:p>
        </w:tc>
        <w:tc>
          <w:tcPr>
            <w:tcW w:type="dxa" w:w="4320"/>
          </w:tcPr>
          <w:p>
            <w:r>
              <w:rPr>
                <w:b/>
              </w:rPr>
              <w:t>Estimate (USD)</w:t>
            </w:r>
          </w:p>
        </w:tc>
      </w:tr>
      <w:tr>
        <w:tc>
          <w:tcPr>
            <w:tcW w:type="dxa" w:w="4320"/>
          </w:tcPr>
          <w:p>
            <w:r>
              <w:t>Engineering (game + on-device ML)</w:t>
            </w:r>
          </w:p>
        </w:tc>
        <w:tc>
          <w:tcPr>
            <w:tcW w:type="dxa" w:w="4320"/>
          </w:tcPr>
          <w:p>
            <w:r>
              <w:t>48,000</w:t>
            </w:r>
          </w:p>
        </w:tc>
      </w:tr>
      <w:tr>
        <w:tc>
          <w:tcPr>
            <w:tcW w:type="dxa" w:w="4320"/>
          </w:tcPr>
          <w:p>
            <w:r>
              <w:t>Content, illustration, localisation</w:t>
            </w:r>
          </w:p>
        </w:tc>
        <w:tc>
          <w:tcPr>
            <w:tcW w:type="dxa" w:w="4320"/>
          </w:tcPr>
          <w:p>
            <w:r>
              <w:t>10,000</w:t>
            </w:r>
          </w:p>
        </w:tc>
      </w:tr>
      <w:tr>
        <w:tc>
          <w:tcPr>
            <w:tcW w:type="dxa" w:w="4320"/>
          </w:tcPr>
          <w:p>
            <w:r>
              <w:t>Hunt-Hue Box design, print-ready, MOQ pilot</w:t>
            </w:r>
          </w:p>
        </w:tc>
        <w:tc>
          <w:tcPr>
            <w:tcW w:type="dxa" w:w="4320"/>
          </w:tcPr>
          <w:p>
            <w:r>
              <w:t>8,000</w:t>
            </w:r>
          </w:p>
        </w:tc>
      </w:tr>
      <w:tr>
        <w:tc>
          <w:tcPr>
            <w:tcW w:type="dxa" w:w="4320"/>
          </w:tcPr>
          <w:p>
            <w:r>
              <w:t>Legal and privacy review</w:t>
            </w:r>
          </w:p>
        </w:tc>
        <w:tc>
          <w:tcPr>
            <w:tcW w:type="dxa" w:w="4320"/>
          </w:tcPr>
          <w:p>
            <w:r>
              <w:t>3,000</w:t>
            </w:r>
          </w:p>
        </w:tc>
      </w:tr>
      <w:tr>
        <w:tc>
          <w:tcPr>
            <w:tcW w:type="dxa" w:w="4320"/>
          </w:tcPr>
          <w:p>
            <w:r>
              <w:t>Soft-launch user acquisition</w:t>
            </w:r>
          </w:p>
        </w:tc>
        <w:tc>
          <w:tcPr>
            <w:tcW w:type="dxa" w:w="4320"/>
          </w:tcPr>
          <w:p>
            <w:r>
              <w:t>6,000</w:t>
            </w:r>
          </w:p>
        </w:tc>
      </w:tr>
      <w:tr>
        <w:tc>
          <w:tcPr>
            <w:tcW w:type="dxa" w:w="4320"/>
          </w:tcPr>
          <w:p>
            <w:r>
              <w:t>Total</w:t>
            </w:r>
          </w:p>
        </w:tc>
        <w:tc>
          <w:tcPr>
            <w:tcW w:type="dxa" w:w="4320"/>
          </w:tcPr>
          <w:p>
            <w:r>
              <w:t>67,000</w:t>
            </w:r>
          </w:p>
        </w:tc>
      </w:tr>
    </w:tbl>
    <w:p/>
    <w:p>
      <w:pPr>
        <w:pStyle w:val="Heading2"/>
      </w:pPr>
      <w:r>
        <w:rPr>
          <w:rFonts w:ascii="Calibri" w:hAnsi="Calibri"/>
        </w:rPr>
        <w:t>Revenue Projections</w:t>
      </w:r>
    </w:p>
    <w:p>
      <w:r>
        <w:t>Management projects first-twelve-months net revenue of USD 55,000 to USD 150,000 digital; USD 35,000–90,000 incremental from Hunt-Hue Box (FY27), subject to soft-launch performance, platform featuring, and user-acquisition efficiency. Projections assume diversified session contexts (family, social, professional) driving broader organic sharing than single-demographic titles.</w:t>
      </w:r>
    </w:p>
    <w:p>
      <w:pPr>
        <w:pStyle w:val="Heading1"/>
      </w:pPr>
      <w:r>
        <w:rPr>
          <w:rFonts w:ascii="Calibri" w:hAnsi="Calibri"/>
          <w:color w:val="6B21A8"/>
        </w:rPr>
        <w:t>Implementation Schedule</w:t>
      </w:r>
    </w:p>
    <w:p>
      <w:r>
        <w:t>Development commencement: Q2 FY2026 (August 2026).</w:t>
      </w:r>
    </w:p>
    <w:p>
      <w:r>
        <w:t>Soft launch target: Q4 FY2026 (February 2027).</w:t>
      </w:r>
    </w:p>
    <w:p>
      <w:r>
        <w:t>Global launch target: Q2 FY2027 (May 2027).</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Fiscal Quarter</w:t>
            </w:r>
          </w:p>
        </w:tc>
        <w:tc>
          <w:tcPr>
            <w:tcW w:type="dxa" w:w="2880"/>
          </w:tcPr>
          <w:p>
            <w:r>
              <w:rPr>
                <w:b/>
              </w:rPr>
              <w:t>Calendar Period</w:t>
            </w:r>
          </w:p>
        </w:tc>
        <w:tc>
          <w:tcPr>
            <w:tcW w:type="dxa" w:w="2880"/>
          </w:tcPr>
          <w:p>
            <w:r>
              <w:rPr>
                <w:b/>
              </w:rPr>
              <w:t>Key Deliverables</w:t>
            </w:r>
          </w:p>
        </w:tc>
      </w:tr>
      <w:tr>
        <w:tc>
          <w:tcPr>
            <w:tcW w:type="dxa" w:w="2880"/>
          </w:tcPr>
          <w:p>
            <w:r>
              <w:t>Q1 FY2026</w:t>
            </w:r>
          </w:p>
        </w:tc>
        <w:tc>
          <w:tcPr>
            <w:tcW w:type="dxa" w:w="2880"/>
          </w:tcPr>
          <w:p>
            <w:r>
              <w:t>Apr–Jun 2026</w:t>
            </w:r>
          </w:p>
        </w:tc>
        <w:tc>
          <w:tcPr>
            <w:tcW w:type="dxa" w:w="2880"/>
          </w:tcPr>
          <w:p>
            <w:r>
              <w:t>v1.0 pitch app shipped; object-first hunt taxonomy; box deck JSON</w:t>
            </w:r>
          </w:p>
        </w:tc>
      </w:tr>
      <w:tr>
        <w:tc>
          <w:tcPr>
            <w:tcW w:type="dxa" w:w="2880"/>
          </w:tcPr>
          <w:p>
            <w:r>
              <w:t>Q2 FY2026</w:t>
            </w:r>
          </w:p>
        </w:tc>
        <w:tc>
          <w:tcPr>
            <w:tcW w:type="dxa" w:w="2880"/>
          </w:tcPr>
          <w:p>
            <w:r>
              <w:t>Jul–Sep 2026</w:t>
            </w:r>
          </w:p>
        </w:tc>
        <w:tc>
          <w:tcPr>
            <w:tcW w:type="dxa" w:w="2880"/>
          </w:tcPr>
          <w:p>
            <w:r>
              <w:t>Content scale 60+ missions; B2B Team Kit sales; print proof</w:t>
            </w:r>
          </w:p>
        </w:tc>
      </w:tr>
      <w:tr>
        <w:tc>
          <w:tcPr>
            <w:tcW w:type="dxa" w:w="2880"/>
          </w:tcPr>
          <w:p>
            <w:r>
              <w:t>Q3 FY2026</w:t>
            </w:r>
          </w:p>
        </w:tc>
        <w:tc>
          <w:tcPr>
            <w:tcW w:type="dxa" w:w="2880"/>
          </w:tcPr>
          <w:p>
            <w:r>
              <w:t>Oct–Dec 2026</w:t>
            </w:r>
          </w:p>
        </w:tc>
        <w:tc>
          <w:tcPr>
            <w:tcW w:type="dxa" w:w="2880"/>
          </w:tcPr>
          <w:p>
            <w:r>
              <w:t>Hunt-Hue Box MOQ; venue sponsor pilots; localization</w:t>
            </w:r>
          </w:p>
        </w:tc>
      </w:tr>
      <w:tr>
        <w:tc>
          <w:tcPr>
            <w:tcW w:type="dxa" w:w="2880"/>
          </w:tcPr>
          <w:p>
            <w:r>
              <w:t>Q4 FY2026</w:t>
            </w:r>
          </w:p>
        </w:tc>
        <w:tc>
          <w:tcPr>
            <w:tcW w:type="dxa" w:w="2880"/>
          </w:tcPr>
          <w:p>
            <w:r>
              <w:t>Jan–Mar 2027</w:t>
            </w:r>
          </w:p>
        </w:tc>
        <w:tc>
          <w:tcPr>
            <w:tcW w:type="dxa" w:w="2880"/>
          </w:tcPr>
          <w:p>
            <w:r>
              <w:t>Soft launch AU/CA; Kickstarter fulfillment; corporate renewals</w:t>
            </w:r>
          </w:p>
        </w:tc>
      </w:tr>
    </w:tbl>
    <w:p/>
    <w:p>
      <w:pPr>
        <w:pStyle w:val="Heading1"/>
      </w:pPr>
      <w:r>
        <w:rPr>
          <w:rFonts w:ascii="Calibri" w:hAnsi="Calibri"/>
          <w:color w:val="6B21A8"/>
        </w:rPr>
        <w:t>Go-to-Market Strategy</w:t>
      </w:r>
    </w:p>
    <w:p>
      <w:pPr>
        <w:pStyle w:val="ListBullet"/>
      </w:pPr>
      <w:r>
        <w:t>Fastest client path: Corporate Team Kits → venue sponsor decks → box pre-order → school pilots → portfolio cross-promo.</w:t>
      </w:r>
    </w:p>
    <w:p>
      <w:pPr>
        <w:pStyle w:val="ListBullet"/>
      </w:pPr>
      <w:r>
        <w:t>Investor/demo build (v1.0 Flutter app) in market before global UA spend.</w:t>
      </w:r>
    </w:p>
    <w:p>
      <w:pPr>
        <w:pStyle w:val="ListBullet"/>
      </w:pPr>
      <w:r>
        <w:t>Core pillars: real object prompts; tabletop-only box; teams + map + retail SKU; 15-min Team Kit; sponsored object decks; host bundle.</w:t>
      </w:r>
    </w:p>
    <w:p>
      <w:pPr>
        <w:pStyle w:val="ListBullet"/>
      </w:pPr>
      <w:r>
        <w:t>B2B outbound: HR platforms, retreat planners, museum education officers.</w:t>
      </w:r>
    </w:p>
    <w:p>
      <w:pPr>
        <w:pStyle w:val="ListBullet"/>
      </w:pPr>
      <w:r>
        <w:t>Hunt-Hue Box: Amazon, specialty toy, hospitality wholesale, game-night influencers.</w:t>
      </w:r>
    </w:p>
    <w:p>
      <w:pPr>
        <w:pStyle w:val="ListBullet"/>
      </w:pPr>
      <w:r>
        <w:t>Host economy: Airbnb experience listing + 10-minute setup script.</w:t>
      </w:r>
    </w:p>
    <w:p>
      <w:pPr>
        <w:pStyle w:val="ListBullet"/>
      </w:pPr>
      <w:r>
        <w:t>Segment ASO: scavenger hunt party game, team building app, family game night.</w:t>
      </w:r>
    </w:p>
    <w:p>
      <w:pPr>
        <w:pStyle w:val="ListBullet"/>
      </w:pPr>
      <w:r>
        <w:t>Portfolio funnel: Quantum Color Sort / Chroma Drop → Hue Hunt box QR.</w:t>
      </w:r>
    </w:p>
    <w:p>
      <w:pPr>
        <w:pStyle w:val="Heading1"/>
      </w:pPr>
      <w:r>
        <w:rPr>
          <w:rFonts w:ascii="Calibri" w:hAnsi="Calibri"/>
          <w:color w:val="6B21A8"/>
        </w:rPr>
        <w:t>Risk Register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Risk ID</w:t>
            </w:r>
          </w:p>
        </w:tc>
        <w:tc>
          <w:tcPr>
            <w:tcW w:type="dxa" w:w="1728"/>
          </w:tcPr>
          <w:p>
            <w:r>
              <w:rPr>
                <w:b/>
              </w:rPr>
              <w:t>Description</w:t>
            </w:r>
          </w:p>
        </w:tc>
        <w:tc>
          <w:tcPr>
            <w:tcW w:type="dxa" w:w="1728"/>
          </w:tcPr>
          <w:p>
            <w:r>
              <w:rPr>
                <w:b/>
              </w:rPr>
              <w:t>Likelihood</w:t>
            </w:r>
          </w:p>
        </w:tc>
        <w:tc>
          <w:tcPr>
            <w:tcW w:type="dxa" w:w="1728"/>
          </w:tcPr>
          <w:p>
            <w:r>
              <w:rPr>
                <w:b/>
              </w:rPr>
              <w:t>Impact</w:t>
            </w:r>
          </w:p>
        </w:tc>
        <w:tc>
          <w:tcPr>
            <w:tcW w:type="dxa" w:w="1728"/>
          </w:tcPr>
          <w:p>
            <w:r>
              <w:rPr>
                <w:b/>
              </w:rPr>
              <w:t>Mitigation</w:t>
            </w:r>
          </w:p>
        </w:tc>
      </w:tr>
      <w:tr>
        <w:tc>
          <w:tcPr>
            <w:tcW w:type="dxa" w:w="1728"/>
          </w:tcPr>
          <w:p>
            <w:r>
              <w:t>R-01</w:t>
            </w:r>
          </w:p>
        </w:tc>
        <w:tc>
          <w:tcPr>
            <w:tcW w:type="dxa" w:w="1728"/>
          </w:tcPr>
          <w:p>
            <w:r>
              <w:t>Name implies family-only</w:t>
            </w:r>
          </w:p>
        </w:tc>
        <w:tc>
          <w:tcPr>
            <w:tcW w:type="dxa" w:w="1728"/>
          </w:tcPr>
          <w:p>
            <w:r>
              <w:t>Medium</w:t>
            </w:r>
          </w:p>
        </w:tc>
        <w:tc>
          <w:tcPr>
            <w:tcW w:type="dxa" w:w="1728"/>
          </w:tcPr>
          <w:p>
            <w:r>
              <w:t>High</w:t>
            </w:r>
          </w:p>
        </w:tc>
        <w:tc>
          <w:tcPr>
            <w:tcW w:type="dxa" w:w="1728"/>
          </w:tcPr>
          <w:p>
            <w:r>
              <w:t>Parallel sub-brands in UI and ASO</w:t>
            </w:r>
          </w:p>
        </w:tc>
      </w:tr>
      <w:tr>
        <w:tc>
          <w:tcPr>
            <w:tcW w:type="dxa" w:w="1728"/>
          </w:tcPr>
          <w:p>
            <w:r>
              <w:t>R-02</w:t>
            </w:r>
          </w:p>
        </w:tc>
        <w:tc>
          <w:tcPr>
            <w:tcW w:type="dxa" w:w="1728"/>
          </w:tcPr>
          <w:p>
            <w:r>
              <w:t>Camera privacy concerns</w:t>
            </w:r>
          </w:p>
        </w:tc>
        <w:tc>
          <w:tcPr>
            <w:tcW w:type="dxa" w:w="1728"/>
          </w:tcPr>
          <w:p>
            <w:r>
              <w:t>Medium</w:t>
            </w:r>
          </w:p>
        </w:tc>
        <w:tc>
          <w:tcPr>
            <w:tcW w:type="dxa" w:w="1728"/>
          </w:tcPr>
          <w:p>
            <w:r>
              <w:t>High</w:t>
            </w:r>
          </w:p>
        </w:tc>
        <w:tc>
          <w:tcPr>
            <w:tcW w:type="dxa" w:w="1728"/>
          </w:tcPr>
          <w:p>
            <w:r>
              <w:t>Optional; party/team/box camera-off by default</w:t>
            </w:r>
          </w:p>
        </w:tc>
      </w:tr>
      <w:tr>
        <w:tc>
          <w:tcPr>
            <w:tcW w:type="dxa" w:w="1728"/>
          </w:tcPr>
          <w:p>
            <w:r>
              <w:t>R-03</w:t>
            </w:r>
          </w:p>
        </w:tc>
        <w:tc>
          <w:tcPr>
            <w:tcW w:type="dxa" w:w="1728"/>
          </w:tcPr>
          <w:p>
            <w:r>
              <w:t>Perceived as kids-only</w:t>
            </w:r>
          </w:p>
        </w:tc>
        <w:tc>
          <w:tcPr>
            <w:tcW w:type="dxa" w:w="1728"/>
          </w:tcPr>
          <w:p>
            <w:r>
              <w:t>Medium</w:t>
            </w:r>
          </w:p>
        </w:tc>
        <w:tc>
          <w:tcPr>
            <w:tcW w:type="dxa" w:w="1728"/>
          </w:tcPr>
          <w:p>
            <w:r>
              <w:t>High</w:t>
            </w:r>
          </w:p>
        </w:tc>
        <w:tc>
          <w:tcPr>
            <w:tcW w:type="dxa" w:w="1728"/>
          </w:tcPr>
          <w:p>
            <w:r>
              <w:t>Party + Team decks; influencer party content</w:t>
            </w:r>
          </w:p>
        </w:tc>
      </w:tr>
      <w:tr>
        <w:tc>
          <w:tcPr>
            <w:tcW w:type="dxa" w:w="1728"/>
          </w:tcPr>
          <w:p>
            <w:r>
              <w:t>R-04</w:t>
            </w:r>
          </w:p>
        </w:tc>
        <w:tc>
          <w:tcPr>
            <w:tcW w:type="dxa" w:w="1728"/>
          </w:tcPr>
          <w:p>
            <w:r>
              <w:t>Box inventory cash flow</w:t>
            </w:r>
          </w:p>
        </w:tc>
        <w:tc>
          <w:tcPr>
            <w:tcW w:type="dxa" w:w="1728"/>
          </w:tcPr>
          <w:p>
            <w:r>
              <w:t>Medium</w:t>
            </w:r>
          </w:p>
        </w:tc>
        <w:tc>
          <w:tcPr>
            <w:tcW w:type="dxa" w:w="1728"/>
          </w:tcPr>
          <w:p>
            <w:r>
              <w:t>Medium</w:t>
            </w:r>
          </w:p>
        </w:tc>
        <w:tc>
          <w:tcPr>
            <w:tcW w:type="dxa" w:w="1728"/>
          </w:tcPr>
          <w:p>
            <w:r>
              <w:t>Pre-order before MOQ; digital-first revenue</w:t>
            </w:r>
          </w:p>
        </w:tc>
      </w:tr>
      <w:tr>
        <w:tc>
          <w:tcPr>
            <w:tcW w:type="dxa" w:w="1728"/>
          </w:tcPr>
          <w:p>
            <w:r>
              <w:t>R-05</w:t>
            </w:r>
          </w:p>
        </w:tc>
        <w:tc>
          <w:tcPr>
            <w:tcW w:type="dxa" w:w="1728"/>
          </w:tcPr>
          <w:p>
            <w:r>
              <w:t>B2B sales cycle length</w:t>
            </w:r>
          </w:p>
        </w:tc>
        <w:tc>
          <w:tcPr>
            <w:tcW w:type="dxa" w:w="1728"/>
          </w:tcPr>
          <w:p>
            <w:r>
              <w:t>Medium</w:t>
            </w:r>
          </w:p>
        </w:tc>
        <w:tc>
          <w:tcPr>
            <w:tcW w:type="dxa" w:w="1728"/>
          </w:tcPr>
          <w:p>
            <w:r>
              <w:t>Medium</w:t>
            </w:r>
          </w:p>
        </w:tc>
        <w:tc>
          <w:tcPr>
            <w:tcW w:type="dxa" w:w="1728"/>
          </w:tcPr>
          <w:p>
            <w:r>
              <w:t>Team Kit self-serve + venue LOI templates</w:t>
            </w:r>
          </w:p>
        </w:tc>
      </w:tr>
      <w:tr>
        <w:tc>
          <w:tcPr>
            <w:tcW w:type="dxa" w:w="1728"/>
          </w:tcPr>
          <w:p>
            <w:r>
              <w:t>R-06</w:t>
            </w:r>
          </w:p>
        </w:tc>
        <w:tc>
          <w:tcPr>
            <w:tcW w:type="dxa" w:w="1728"/>
          </w:tcPr>
          <w:p>
            <w:r>
              <w:t>Clone 'I Spy' positioning</w:t>
            </w:r>
          </w:p>
        </w:tc>
        <w:tc>
          <w:tcPr>
            <w:tcW w:type="dxa" w:w="1728"/>
          </w:tcPr>
          <w:p>
            <w:r>
              <w:t>Low</w:t>
            </w:r>
          </w:p>
        </w:tc>
        <w:tc>
          <w:tcPr>
            <w:tcW w:type="dxa" w:w="1728"/>
          </w:tcPr>
          <w:p>
            <w:r>
              <w:t>High</w:t>
            </w:r>
          </w:p>
        </w:tc>
        <w:tc>
          <w:tcPr>
            <w:tcW w:type="dxa" w:w="1728"/>
          </w:tcPr>
          <w:p>
            <w:r>
              <w:t>Structured scoring, teams, retail box, app progression</w:t>
            </w:r>
          </w:p>
        </w:tc>
      </w:tr>
    </w:tbl>
    <w:p/>
    <w:p>
      <w:pPr>
        <w:pStyle w:val="Heading1"/>
      </w:pPr>
      <w:r>
        <w:rPr>
          <w:rFonts w:ascii="Calibri" w:hAnsi="Calibri"/>
          <w:color w:val="6B21A8"/>
        </w:rPr>
        <w:t>Conclusion and Recommendation</w:t>
      </w:r>
    </w:p>
    <w:p>
      <w:r>
        <w:t>Hue Hunt is NovaLumina’s bet on social scavenger as a platform: digital app, physical box, and B2B mission packs share one content pipeline. Object-first hunts reduce friction, widen retail story, and open faster client paths than colour-only mobile clones.</w:t>
      </w:r>
    </w:p>
    <w:p>
      <w:r>
        <w:t>Management recommends approval to proceed with development in accordance with the schedule and budget set forth herein, subject to final greenlight at the Q2 FY2026 portfolio review.</w:t>
      </w:r>
    </w:p>
    <w:p>
      <w:r>
        <w:br w:type="page"/>
      </w:r>
    </w:p>
    <w:p>
      <w:pPr>
        <w:pStyle w:val="Heading1"/>
      </w:pPr>
      <w:r>
        <w:rPr>
          <w:rFonts w:ascii="Calibri" w:hAnsi="Calibri"/>
          <w:color w:val="6B21A8"/>
        </w:rPr>
        <w:t>Approval and Authorisation</w:t>
      </w:r>
    </w:p>
    <w:p>
      <w:r>
        <w:t>The undersigned acknowledge review of this Formal Business Plan and authorise allocation of resources in accordance with Company governance, subject to final budget approval.</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Signature</w:t>
            </w:r>
          </w:p>
        </w:tc>
        <w:tc>
          <w:tcPr>
            <w:tcW w:type="dxa" w:w="2160"/>
          </w:tcPr>
          <w:p>
            <w:r>
              <w:rPr>
                <w:b/>
              </w:rPr>
              <w:t>Date</w:t>
            </w:r>
          </w:p>
        </w:tc>
      </w:tr>
      <w:tr>
        <w:tc>
          <w:tcPr>
            <w:tcW w:type="dxa" w:w="2160"/>
          </w:tcPr>
          <w:p>
            <w:r>
              <w:t>Chief Executive / Co-Founder</w:t>
            </w:r>
          </w:p>
        </w:tc>
        <w:tc>
          <w:tcPr>
            <w:tcW w:type="dxa" w:w="2160"/>
          </w:tcPr>
          <w:p>
            <w:r/>
          </w:p>
        </w:tc>
        <w:tc>
          <w:tcPr>
            <w:tcW w:type="dxa" w:w="2160"/>
          </w:tcPr>
          <w:p>
            <w:r/>
          </w:p>
        </w:tc>
        <w:tc>
          <w:tcPr>
            <w:tcW w:type="dxa" w:w="2160"/>
          </w:tcPr>
          <w:p>
            <w:r/>
          </w:p>
        </w:tc>
      </w:tr>
      <w:tr>
        <w:tc>
          <w:tcPr>
            <w:tcW w:type="dxa" w:w="2160"/>
          </w:tcPr>
          <w:p>
            <w:r>
              <w:t>Technical Director / Co-Founder</w:t>
            </w:r>
          </w:p>
        </w:tc>
        <w:tc>
          <w:tcPr>
            <w:tcW w:type="dxa" w:w="2160"/>
          </w:tcPr>
          <w:p>
            <w:r/>
          </w:p>
        </w:tc>
        <w:tc>
          <w:tcPr>
            <w:tcW w:type="dxa" w:w="2160"/>
          </w:tcPr>
          <w:p>
            <w:r/>
          </w:p>
        </w:tc>
        <w:tc>
          <w:tcPr>
            <w:tcW w:type="dxa" w:w="2160"/>
          </w:tcPr>
          <w:p>
            <w:r/>
          </w:p>
        </w:tc>
      </w:tr>
      <w:tr>
        <w:tc>
          <w:tcPr>
            <w:tcW w:type="dxa" w:w="2160"/>
          </w:tcPr>
          <w:p>
            <w:r>
              <w:t>Document Author</w:t>
            </w:r>
          </w:p>
        </w:tc>
        <w:tc>
          <w:tcPr>
            <w:tcW w:type="dxa" w:w="2160"/>
          </w:tcPr>
          <w:p>
            <w:r>
              <w:t>NovaLumina Studio — Corporate Development</w:t>
            </w:r>
          </w:p>
        </w:tc>
        <w:tc>
          <w:tcPr>
            <w:tcW w:type="dxa" w:w="2160"/>
          </w:tcPr>
          <w:p>
            <w:r/>
          </w:p>
        </w:tc>
        <w:tc>
          <w:tcPr>
            <w:tcW w:type="dxa" w:w="2160"/>
          </w:tcPr>
          <w:p>
            <w:r>
              <w:t>26 May 2026</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drawing>
        <wp:inline xmlns:a="http://schemas.openxmlformats.org/drawingml/2006/main" xmlns:pic="http://schemas.openxmlformats.org/drawingml/2006/picture">
          <wp:extent cx="1691640" cy="1691640"/>
          <wp:docPr id="1" name="Picture 1"/>
          <wp:cNvGraphicFramePr>
            <a:graphicFrameLocks noChangeAspect="1"/>
          </wp:cNvGraphicFramePr>
          <a:graphic>
            <a:graphicData uri="http://schemas.openxmlformats.org/drawingml/2006/picture">
              <pic:pic>
                <pic:nvPicPr>
                  <pic:cNvPr id="0" name="novalumina-logo.png"/>
                  <pic:cNvPicPr/>
                </pic:nvPicPr>
                <pic:blipFill>
                  <a:blip r:embed="rId1"/>
                  <a:stretch>
                    <a:fillRect/>
                  </a:stretch>
                </pic:blipFill>
                <pic:spPr>
                  <a:xfrm>
                    <a:off x="0" y="0"/>
                    <a:ext cx="1691640" cy="1691640"/>
                  </a:xfrm>
                  <a:prstGeom prst="rect"/>
                </pic:spPr>
              </pic:pic>
            </a:graphicData>
          </a:graphic>
        </wp:inline>
      </w:drawing>
    </w:r>
  </w:p>
  <w:p>
    <w:pPr>
      <w:jc w:val="center"/>
    </w:pPr>
    <w:r>
      <w:rPr>
        <w:color w:val="6E6E6E"/>
        <w:sz w:val="14"/>
      </w:rPr>
      <w:t>Hue Hunt: Family Mission | NL-HH-2026-002 | Business Plan v2.1 | Strictly Confidential</w:t>
      <w:br/>
      <w:t>© 2026 NovaLumina Studio. All rights reserved.</w:t>
      <w:br/>
      <w:t>CONFIDENTIAL AND PROPRIETARY. This document contains trade secrets and commercially sensitive information belonging exclusively to NovaLumina Studio. No part of this document may be reproduced, stored in a retrieval system, transmitted, or distributed in any form or by any means without prior written permission. Unauthorized use may result in civil and criminal liability.</w:t>
      <w:br/>
      <w:t>NovaLumina Studio · hello@novaluminastudio.com · https://novaluminastudio.com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70B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70B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70B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