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2563EB"/>
          <w:bottom w:val="single" w:sz="6" w:space="0" w:color="2563EB"/>
          <w:left w:val="single" w:sz="6" w:space="0" w:color="2563EB"/>
          <w:right w:val="single" w:sz="6" w:space="0" w:color="2563EB"/>
          <w:insideH w:val="single" w:sz="4" w:space="0" w:color="2563EB"/>
          <w:insideV w:val="single" w:sz="4" w:space="0" w:color="2563EB"/>
        </w:tblBorders>
      </w:tblPr>
      <w:tblGrid>
        <w:gridCol w:w="9648"/>
      </w:tblGrid>
      <w:tr>
        <w:tc>
          <w:tcPr>
            <w:tcW w:type="dxa" w:w="9648"/>
            <w:shd w:fill="EFF6FF"/>
            <w:tcMar>
              <w:top w:w="220" w:type="dxa"/>
              <w:bottom w:w="220" w:type="dxa"/>
              <w:left w:w="240" w:type="dxa"/>
              <w:right w:w="240" w:type="dxa"/>
            </w:tcMar>
          </w:tcPr>
          <w:p>
            <w:pPr>
              <w:spacing w:after="80"/>
            </w:pPr>
            <w:r>
              <w:rPr>
                <w:rFonts w:ascii="Segoe UI" w:hAnsi="Segoe UI"/>
                <w:b/>
                <w:color w:val="2563EB"/>
                <w:sz w:val="38"/>
              </w:rPr>
              <w:t>Project Report: Pacelog Responsive Landing Page</w:t>
            </w:r>
          </w:p>
          <w:p>
            <w:pPr>
              <w:spacing w:after="0"/>
            </w:pPr>
            <w:r>
              <w:rPr>
                <w:b/>
                <w:sz w:val="21"/>
              </w:rPr>
              <w:t xml:space="preserve">Author: </w:t>
            </w:r>
            <w:r>
              <w:rPr>
                <w:sz w:val="21"/>
              </w:rPr>
              <w:t xml:space="preserve">Subhajit Majee    |    </w:t>
            </w:r>
            <w:r>
              <w:rPr>
                <w:b/>
                <w:sz w:val="21"/>
              </w:rPr>
              <w:t xml:space="preserve">Task: </w:t>
            </w:r>
            <w:r>
              <w:rPr>
                <w:sz w:val="21"/>
              </w:rPr>
              <w:t>Internship Task 2 — Synent Technologies (synent-task2-landingpage-subhajit)</w:t>
            </w:r>
          </w:p>
        </w:tc>
      </w:tr>
    </w:tbl>
    <w:p>
      <w:pPr>
        <w:keepNext/>
        <w:spacing w:before="320" w:after="120"/>
        <w:pBdr>
          <w:bottom w:val="single" w:sz="12" w:space="4" w:color="2563EB"/>
        </w:pBdr>
      </w:pPr>
      <w:r>
        <w:rPr>
          <w:rFonts w:ascii="Segoe UI" w:hAnsi="Segoe UI"/>
          <w:b/>
          <w:color w:val="2563EB"/>
          <w:sz w:val="28"/>
        </w:rPr>
        <w:t>1. Project Overview</w:t>
      </w:r>
    </w:p>
    <w:p>
      <w:r>
        <w:t>This project is a two-part front-end prototype built for Pacelog, a concept training log app designed for runners. The core idea behind Pacelog is speed and offline reliability: runners can log their distance, time, and effort in under ten seconds, review their weekly mileage and rest days on a single screen, and export their full training history as a CSV file whenever they want.</w:t>
      </w:r>
    </w:p>
    <w:p>
      <w:r>
        <w:t>Everything in the repository is written in plain HTML5, CSS3, and vanilla JavaScript without any external frameworks, libraries, or build steps. The project is split into two distinct views: a minimal entry splash screen at the root level and the full product landing page inside the landing/ directory. Both pages share a synchronized light and dark theme state through browser localStorage.</w:t>
      </w:r>
    </w:p>
    <w:p>
      <w:pPr>
        <w:keepNext/>
        <w:spacing w:before="320" w:after="120"/>
        <w:pBdr>
          <w:bottom w:val="single" w:sz="12" w:space="4" w:color="2563EB"/>
        </w:pBdr>
      </w:pPr>
      <w:r>
        <w:rPr>
          <w:rFonts w:ascii="Segoe UI" w:hAnsi="Segoe UI"/>
          <w:b/>
          <w:color w:val="2563EB"/>
          <w:sz w:val="28"/>
        </w:rPr>
        <w:t>2. Repository Structure</w:t>
      </w:r>
    </w:p>
    <w:p>
      <w:r>
        <w:t>The repository keeps a clean directory layout separating the entry splash screen from the main product page:</w:t>
      </w:r>
    </w:p>
    <w:p>
      <w:pPr>
        <w:pStyle w:val="ListBullet"/>
        <w:spacing w:after="80" w:line="312" w:lineRule="auto"/>
      </w:pPr>
      <w:r>
        <w:rPr>
          <w:b/>
          <w:color w:val="212529"/>
        </w:rPr>
        <w:t xml:space="preserve">index.html &amp; style.css (Root): </w:t>
      </w:r>
      <w:r>
        <w:rPr>
          <w:color w:val="212529"/>
        </w:rPr>
        <w:t>The entry splash page featuring a theme-adaptive runner graphic, a top-right theme toggle button, and a centered link leading into the main landing page.</w:t>
      </w:r>
    </w:p>
    <w:p>
      <w:pPr>
        <w:pStyle w:val="ListBullet"/>
        <w:spacing w:after="80" w:line="312" w:lineRule="auto"/>
      </w:pPr>
      <w:r>
        <w:rPr>
          <w:b/>
          <w:color w:val="212529"/>
        </w:rPr>
        <w:t xml:space="preserve">runner-light.png &amp; runner-dark.png: </w:t>
      </w:r>
      <w:r>
        <w:rPr>
          <w:color w:val="212529"/>
        </w:rPr>
        <w:t>Transparent PNG illustrations of a runner tailored for light mode and dark mode backgrounds.</w:t>
      </w:r>
    </w:p>
    <w:p>
      <w:pPr>
        <w:pStyle w:val="ListBullet"/>
        <w:spacing w:after="80" w:line="312" w:lineRule="auto"/>
      </w:pPr>
      <w:r>
        <w:rPr>
          <w:b/>
          <w:color w:val="212529"/>
        </w:rPr>
        <w:t xml:space="preserve">landing/index.html: </w:t>
      </w:r>
      <w:r>
        <w:rPr>
          <w:color w:val="212529"/>
        </w:rPr>
        <w:t>The main Pacelog product landing page containing the sticky navigation bar, hero section, 3-step workflow, feature cards, runner reviews, and footer.</w:t>
      </w:r>
    </w:p>
    <w:p>
      <w:pPr>
        <w:pStyle w:val="ListBullet"/>
        <w:spacing w:after="80" w:line="312" w:lineRule="auto"/>
      </w:pPr>
      <w:r>
        <w:rPr>
          <w:b/>
          <w:color w:val="212529"/>
        </w:rPr>
        <w:t xml:space="preserve">landing/style.css: </w:t>
      </w:r>
      <w:r>
        <w:rPr>
          <w:color w:val="212529"/>
        </w:rPr>
        <w:t>Mobile-first stylesheet for the landing page, handling CSS Grid layouts, custom theme variables, button states, and responsive breakpoints.</w:t>
      </w:r>
    </w:p>
    <w:p>
      <w:pPr>
        <w:pStyle w:val="ListBullet"/>
        <w:spacing w:after="80" w:line="312" w:lineRule="auto"/>
      </w:pPr>
      <w:r>
        <w:rPr>
          <w:b/>
          <w:color w:val="212529"/>
        </w:rPr>
        <w:t xml:space="preserve">README.md: </w:t>
      </w:r>
      <w:r>
        <w:rPr>
          <w:color w:val="212529"/>
        </w:rPr>
        <w:t>Project documentation explaining the file layout, how to run the site locally, theme behavior, and how to customize the copy or graphics.</w:t>
      </w:r>
    </w:p>
    <w:p>
      <w:pPr>
        <w:pStyle w:val="ListBullet"/>
        <w:spacing w:after="80" w:line="312" w:lineRule="auto"/>
      </w:pPr>
      <w:r>
        <w:rPr>
          <w:b/>
          <w:color w:val="212529"/>
        </w:rPr>
        <w:t xml:space="preserve">Screenshot/: </w:t>
      </w:r>
      <w:r>
        <w:rPr>
          <w:color w:val="212529"/>
        </w:rPr>
        <w:t>Folder containing six desktop and mobile screenshots capturing both the splash screen and the landing page across light and dark themes.</w:t>
      </w:r>
    </w:p>
    <w:p>
      <w:pPr>
        <w:keepNext/>
        <w:spacing w:before="320" w:after="120"/>
        <w:pBdr>
          <w:bottom w:val="single" w:sz="12" w:space="4" w:color="2563EB"/>
        </w:pBdr>
      </w:pPr>
      <w:r>
        <w:rPr>
          <w:rFonts w:ascii="Segoe UI" w:hAnsi="Segoe UI"/>
          <w:b/>
          <w:color w:val="2563EB"/>
          <w:sz w:val="28"/>
        </w:rPr>
        <w:t>3. Entry Splash Page (index.html)</w:t>
      </w:r>
    </w:p>
    <w:p>
      <w:r>
        <w:t>When a user opens the root index.html file, they land on a full-height (min-height: 100vh) flex container designed as a clean entry screen. A top bar (.top-bar) sits pinned to the top right with the theme switcher button (#theme-toggle), while the main .splash-content area centers the branding vertically and horizontally.</w:t>
      </w:r>
    </w:p>
    <w:p>
      <w:r>
        <w:t>One neat detail on the splash page is how it swaps the runner illustration without needing JavaScript image manipulation. Both runner-light.png and runner-dark.png are placed in the markup, and CSS rules control which image is visible based on the root data-theme attribute:</w:t>
      </w:r>
    </w:p>
    <w:p>
      <w:pPr>
        <w:pStyle w:val="ListBullet"/>
        <w:spacing w:after="80" w:line="312" w:lineRule="auto"/>
      </w:pPr>
      <w:r>
        <w:rPr>
          <w:b/>
          <w:color w:val="212529"/>
        </w:rPr>
        <w:t xml:space="preserve">Light Mode Default: </w:t>
      </w:r>
      <w:r>
        <w:rPr>
          <w:color w:val="212529"/>
        </w:rPr>
        <w:t>.runner-dark is set to display: none, leaving .runner-light visible at 60vw (capped at 280px on standard screens and 320px above 900px).</w:t>
      </w:r>
    </w:p>
    <w:p>
      <w:pPr>
        <w:pStyle w:val="ListBullet"/>
        <w:spacing w:after="80" w:line="312" w:lineRule="auto"/>
      </w:pPr>
      <w:r>
        <w:rPr>
          <w:b/>
          <w:color w:val="212529"/>
        </w:rPr>
        <w:t xml:space="preserve">Dark Mode Override: </w:t>
      </w:r>
      <w:r>
        <w:rPr>
          <w:color w:val="212529"/>
        </w:rPr>
        <w:t>When :root[data-theme="dark"] is active, .runner-light is hidden and .runner-dark is set to display: block.</w:t>
      </w:r>
    </w:p>
    <w:p>
      <w:pPr>
        <w:pStyle w:val="ListBullet"/>
        <w:spacing w:after="80" w:line="312" w:lineRule="auto"/>
      </w:pPr>
      <w:r>
        <w:rPr>
          <w:b/>
          <w:color w:val="212529"/>
        </w:rPr>
        <w:t xml:space="preserve">Entry Link: </w:t>
      </w:r>
      <w:r>
        <w:rPr>
          <w:color w:val="212529"/>
        </w:rPr>
        <w:t>Below the illustration, an &lt;h1&gt; heading (.name) links directly to landing/index.html, scaling from 1.8rem on phones up to 3.5rem on desktop monitors.</w:t>
      </w:r>
    </w:p>
    <w:p>
      <w:pPr>
        <w:keepNext/>
        <w:spacing w:before="320" w:after="120"/>
        <w:pBdr>
          <w:bottom w:val="single" w:sz="12" w:space="4" w:color="2563EB"/>
        </w:pBdr>
      </w:pPr>
      <w:r>
        <w:rPr>
          <w:rFonts w:ascii="Segoe UI" w:hAnsi="Segoe UI"/>
          <w:b/>
          <w:color w:val="2563EB"/>
          <w:sz w:val="28"/>
        </w:rPr>
        <w:t>4. Main Landing Page (landing/index.html)</w:t>
      </w:r>
    </w:p>
    <w:p>
      <w:r>
        <w:t>Clicking the Pacelog title on the splash screen (or opening landing/index.html directly) loads the full product landing page. The document head includes meta descriptions as well as Open Graph (og:) and Twitter card metadata for clean social link previews. The body is organized into six main sections inside a centered 1000px container:</w:t>
      </w:r>
    </w:p>
    <w:p>
      <w:pPr>
        <w:pStyle w:val="ListBullet"/>
        <w:spacing w:after="80" w:line="312" w:lineRule="auto"/>
      </w:pPr>
      <w:r>
        <w:rPr>
          <w:b/>
          <w:color w:val="212529"/>
        </w:rPr>
        <w:t xml:space="preserve">1. Sticky Header &amp; Navigation (#site-header): </w:t>
      </w:r>
      <w:r>
        <w:rPr>
          <w:color w:val="212529"/>
        </w:rPr>
        <w:t>Stays pinned to the top of the viewport (position: sticky; top: 0; z-index: 20). It holds the Pacelog brand link, anchor links for Features (#features), Reviews (#testimonials), and Contact (#contact), the theme toggle button, and a mobile hamburger button (#nav-toggle).</w:t>
      </w:r>
    </w:p>
    <w:p>
      <w:pPr>
        <w:pStyle w:val="ListBullet"/>
        <w:spacing w:after="80" w:line="312" w:lineRule="auto"/>
      </w:pPr>
      <w:r>
        <w:rPr>
          <w:b/>
          <w:color w:val="212529"/>
        </w:rPr>
        <w:t xml:space="preserve">2. Hero Section (.hero): </w:t>
      </w:r>
      <w:r>
        <w:rPr>
          <w:color w:val="212529"/>
        </w:rPr>
        <w:t>Leads with the headline "Keep Log Of Your Training" and a short pitch emphasizing 10-second run logging and offline-first local storage. Below the text sit two call-to-action buttons: a solid blue "Get started" button (.btn-primary) pointing to #contact and an outlined "See features" button (.btn-secondary) pointing to #features.</w:t>
      </w:r>
    </w:p>
    <w:p>
      <w:pPr>
        <w:pStyle w:val="ListBullet"/>
        <w:spacing w:after="80" w:line="312" w:lineRule="auto"/>
      </w:pPr>
      <w:r>
        <w:rPr>
          <w:b/>
          <w:color w:val="212529"/>
        </w:rPr>
        <w:t xml:space="preserve">3. How It Works (#how): </w:t>
      </w:r>
      <w:r>
        <w:rPr>
          <w:color w:val="212529"/>
        </w:rPr>
        <w:t>Breaks the workflow into three numbered steps (.how-step), each badged with a circular blue number (.how-num): (1) Log a run, (2) Check your week, and (3) Export when you need it.</w:t>
      </w:r>
    </w:p>
    <w:p>
      <w:pPr>
        <w:pStyle w:val="ListBullet"/>
        <w:spacing w:after="80" w:line="312" w:lineRule="auto"/>
      </w:pPr>
      <w:r>
        <w:rPr>
          <w:b/>
          <w:color w:val="212529"/>
        </w:rPr>
        <w:t xml:space="preserve">4. Features Grid (#features): </w:t>
      </w:r>
      <w:r>
        <w:rPr>
          <w:color w:val="212529"/>
        </w:rPr>
        <w:t>Displays four &lt;article class="feature"&gt; cards highlighting the core capabilities of the app (summarized in Table 1).</w:t>
      </w:r>
    </w:p>
    <w:p>
      <w:pPr>
        <w:pStyle w:val="ListBullet"/>
        <w:spacing w:after="80" w:line="312" w:lineRule="auto"/>
      </w:pPr>
      <w:r>
        <w:rPr>
          <w:b/>
          <w:color w:val="212529"/>
        </w:rPr>
        <w:t xml:space="preserve">5. Runner Testimonials (#testimonials): </w:t>
      </w:r>
      <w:r>
        <w:rPr>
          <w:color w:val="212529"/>
        </w:rPr>
        <w:t>Titled "What runners say", this section uses semantic &lt;blockquote&gt; and &lt;cite&gt; tags styled with a 3px solid blue left accent border to showcase feedback from a marathon runner, a trail runner, and a club athlete.</w:t>
      </w:r>
    </w:p>
    <w:p>
      <w:pPr>
        <w:pStyle w:val="ListBullet"/>
        <w:spacing w:after="80" w:line="312" w:lineRule="auto"/>
      </w:pPr>
      <w:r>
        <w:rPr>
          <w:b/>
          <w:color w:val="212529"/>
        </w:rPr>
        <w:t xml:space="preserve">6. Footer (#contact): </w:t>
      </w:r>
      <w:r>
        <w:rPr>
          <w:color w:val="212529"/>
        </w:rPr>
        <w:t>Contains a dummy contact email link (mailto:contact@pacelog.local) and a 2026 copyright notice.</w:t>
      </w:r>
    </w:p>
    <w:p>
      <w:pPr>
        <w:spacing w:before="120" w:after="80"/>
      </w:pPr>
      <w:r>
        <w:rPr>
          <w:b/>
          <w:color w:val="6C757D"/>
          <w:sz w:val="20"/>
        </w:rPr>
        <w:t>Table 1: Pacelog Landing Page Feature Cards &amp; Workflow</w:t>
      </w:r>
    </w:p>
    <w:tbl>
      <w:tblPr>
        <w:tblW w:type="auto" w:w="0"/>
        <w:jc w:val="center"/>
        <w:tblLook w:firstColumn="1" w:firstRow="1" w:lastColumn="0" w:lastRow="0" w:noHBand="0" w:noVBand="1" w:val="04A0"/>
        <w:tblBorders>
          <w:top w:val="single" w:sz="6" w:space="0" w:color="DEE2E6"/>
          <w:bottom w:val="single" w:sz="6" w:space="0" w:color="DEE2E6"/>
          <w:left w:val="single" w:sz="6" w:space="0" w:color="DEE2E6"/>
          <w:right w:val="single" w:sz="6" w:space="0" w:color="DEE2E6"/>
          <w:insideH w:val="single" w:sz="4" w:space="0" w:color="DEE2E6"/>
          <w:insideV w:val="single" w:sz="4" w:space="0" w:color="DEE2E6"/>
        </w:tblBorders>
      </w:tblPr>
      <w:tblGrid>
        <w:gridCol w:w="3216"/>
        <w:gridCol w:w="3216"/>
        <w:gridCol w:w="3216"/>
      </w:tblGrid>
      <w:tr>
        <w:tc>
          <w:tcPr>
            <w:tcW w:type="dxa" w:w="3216"/>
            <w:shd w:fill="EFF6FF"/>
            <w:tcMar>
              <w:top w:w="90" w:type="dxa"/>
              <w:bottom w:w="90" w:type="dxa"/>
              <w:left w:w="120" w:type="dxa"/>
              <w:right w:w="120" w:type="dxa"/>
            </w:tcMar>
          </w:tcPr>
          <w:p>
            <w:pPr>
              <w:spacing w:after="0"/>
            </w:pPr>
            <w:r>
              <w:rPr>
                <w:b/>
                <w:color w:val="212529"/>
                <w:sz w:val="19"/>
              </w:rPr>
              <w:t>Feature Card</w:t>
            </w:r>
          </w:p>
        </w:tc>
        <w:tc>
          <w:tcPr>
            <w:tcW w:type="dxa" w:w="3216"/>
            <w:shd w:fill="EFF6FF"/>
            <w:tcMar>
              <w:top w:w="90" w:type="dxa"/>
              <w:bottom w:w="90" w:type="dxa"/>
              <w:left w:w="120" w:type="dxa"/>
              <w:right w:w="120" w:type="dxa"/>
            </w:tcMar>
          </w:tcPr>
          <w:p>
            <w:pPr>
              <w:spacing w:after="0"/>
            </w:pPr>
            <w:r>
              <w:rPr>
                <w:b/>
                <w:color w:val="212529"/>
                <w:sz w:val="19"/>
              </w:rPr>
              <w:t>Corresponding Step</w:t>
            </w:r>
          </w:p>
        </w:tc>
        <w:tc>
          <w:tcPr>
            <w:tcW w:type="dxa" w:w="3216"/>
            <w:shd w:fill="EFF6FF"/>
            <w:tcMar>
              <w:top w:w="90" w:type="dxa"/>
              <w:bottom w:w="90" w:type="dxa"/>
              <w:left w:w="120" w:type="dxa"/>
              <w:right w:w="120" w:type="dxa"/>
            </w:tcMar>
          </w:tcPr>
          <w:p>
            <w:pPr>
              <w:spacing w:after="0"/>
            </w:pPr>
            <w:r>
              <w:rPr>
                <w:b/>
                <w:color w:val="212529"/>
                <w:sz w:val="19"/>
              </w:rPr>
              <w:t>Core Functionality Described</w:t>
            </w:r>
          </w:p>
        </w:tc>
      </w:tr>
      <w:tr>
        <w:tc>
          <w:tcPr>
            <w:tcW w:type="dxa" w:w="3216"/>
            <w:tcMar>
              <w:top w:w="85" w:type="dxa"/>
              <w:bottom w:w="85" w:type="dxa"/>
              <w:left w:w="120" w:type="dxa"/>
              <w:right w:w="120" w:type="dxa"/>
            </w:tcMar>
          </w:tcPr>
          <w:p>
            <w:pPr>
              <w:spacing w:after="0"/>
            </w:pPr>
            <w:r>
              <w:rPr>
                <w:b/>
                <w:sz w:val="19"/>
              </w:rPr>
              <w:t>Entry</w:t>
            </w:r>
          </w:p>
        </w:tc>
        <w:tc>
          <w:tcPr>
            <w:tcW w:type="dxa" w:w="3216"/>
            <w:tcMar>
              <w:top w:w="85" w:type="dxa"/>
              <w:bottom w:w="85" w:type="dxa"/>
              <w:left w:w="120" w:type="dxa"/>
              <w:right w:w="120" w:type="dxa"/>
            </w:tcMar>
          </w:tcPr>
          <w:p>
            <w:pPr>
              <w:spacing w:after="0"/>
            </w:pPr>
            <w:r>
              <w:rPr>
                <w:sz w:val="19"/>
              </w:rPr>
              <w:t>Step 1: Log a run</w:t>
            </w:r>
          </w:p>
        </w:tc>
        <w:tc>
          <w:tcPr>
            <w:tcW w:type="dxa" w:w="3216"/>
            <w:tcMar>
              <w:top w:w="85" w:type="dxa"/>
              <w:bottom w:w="85" w:type="dxa"/>
              <w:left w:w="120" w:type="dxa"/>
              <w:right w:w="120" w:type="dxa"/>
            </w:tcMar>
          </w:tcPr>
          <w:p>
            <w:pPr>
              <w:spacing w:after="0"/>
            </w:pPr>
            <w:r>
              <w:rPr>
                <w:sz w:val="19"/>
              </w:rPr>
              <w:t>Type distance, time, and effort on a single line; Pacelog calculates the pace automatically.</w:t>
            </w:r>
          </w:p>
        </w:tc>
      </w:tr>
      <w:tr>
        <w:tc>
          <w:tcPr>
            <w:tcW w:type="dxa" w:w="3216"/>
            <w:shd w:fill="F8F9FA"/>
            <w:tcMar>
              <w:top w:w="85" w:type="dxa"/>
              <w:bottom w:w="85" w:type="dxa"/>
              <w:left w:w="120" w:type="dxa"/>
              <w:right w:w="120" w:type="dxa"/>
            </w:tcMar>
          </w:tcPr>
          <w:p>
            <w:pPr>
              <w:spacing w:after="0"/>
            </w:pPr>
            <w:r>
              <w:rPr>
                <w:b/>
                <w:sz w:val="19"/>
              </w:rPr>
              <w:t>Track records</w:t>
            </w:r>
          </w:p>
        </w:tc>
        <w:tc>
          <w:tcPr>
            <w:tcW w:type="dxa" w:w="3216"/>
            <w:shd w:fill="F8F9FA"/>
            <w:tcMar>
              <w:top w:w="85" w:type="dxa"/>
              <w:bottom w:w="85" w:type="dxa"/>
              <w:left w:w="120" w:type="dxa"/>
              <w:right w:w="120" w:type="dxa"/>
            </w:tcMar>
          </w:tcPr>
          <w:p>
            <w:pPr>
              <w:spacing w:after="0"/>
            </w:pPr>
            <w:r>
              <w:rPr>
                <w:sz w:val="19"/>
              </w:rPr>
              <w:t>Step 2: Check your week</w:t>
            </w:r>
          </w:p>
        </w:tc>
        <w:tc>
          <w:tcPr>
            <w:tcW w:type="dxa" w:w="3216"/>
            <w:shd w:fill="F8F9FA"/>
            <w:tcMar>
              <w:top w:w="85" w:type="dxa"/>
              <w:bottom w:w="85" w:type="dxa"/>
              <w:left w:w="120" w:type="dxa"/>
              <w:right w:w="120" w:type="dxa"/>
            </w:tcMar>
          </w:tcPr>
          <w:p>
            <w:pPr>
              <w:spacing w:after="0"/>
            </w:pPr>
            <w:r>
              <w:rPr>
                <w:sz w:val="19"/>
              </w:rPr>
              <w:t>View weekly mileage, total sessions, and rest days together on one screen.</w:t>
            </w:r>
          </w:p>
        </w:tc>
      </w:tr>
      <w:tr>
        <w:tc>
          <w:tcPr>
            <w:tcW w:type="dxa" w:w="3216"/>
            <w:tcMar>
              <w:top w:w="85" w:type="dxa"/>
              <w:bottom w:w="85" w:type="dxa"/>
              <w:left w:w="120" w:type="dxa"/>
              <w:right w:w="120" w:type="dxa"/>
            </w:tcMar>
          </w:tcPr>
          <w:p>
            <w:pPr>
              <w:spacing w:after="0"/>
            </w:pPr>
            <w:r>
              <w:rPr>
                <w:b/>
                <w:sz w:val="19"/>
              </w:rPr>
              <w:t>Sync offline records online</w:t>
            </w:r>
          </w:p>
        </w:tc>
        <w:tc>
          <w:tcPr>
            <w:tcW w:type="dxa" w:w="3216"/>
            <w:tcMar>
              <w:top w:w="85" w:type="dxa"/>
              <w:bottom w:w="85" w:type="dxa"/>
              <w:left w:w="120" w:type="dxa"/>
              <w:right w:w="120" w:type="dxa"/>
            </w:tcMar>
          </w:tcPr>
          <w:p>
            <w:pPr>
              <w:spacing w:after="0"/>
            </w:pPr>
            <w:r>
              <w:rPr>
                <w:sz w:val="19"/>
              </w:rPr>
              <w:t>Offline-first storage</w:t>
            </w:r>
          </w:p>
        </w:tc>
        <w:tc>
          <w:tcPr>
            <w:tcW w:type="dxa" w:w="3216"/>
            <w:tcMar>
              <w:top w:w="85" w:type="dxa"/>
              <w:bottom w:w="85" w:type="dxa"/>
              <w:left w:w="120" w:type="dxa"/>
              <w:right w:w="120" w:type="dxa"/>
            </w:tcMar>
          </w:tcPr>
          <w:p>
            <w:pPr>
              <w:spacing w:after="0"/>
            </w:pPr>
            <w:r>
              <w:rPr>
                <w:sz w:val="19"/>
              </w:rPr>
              <w:t>Logs save directly on the device for trail runs without signal and sync when back online.</w:t>
            </w:r>
          </w:p>
        </w:tc>
      </w:tr>
      <w:tr>
        <w:tc>
          <w:tcPr>
            <w:tcW w:type="dxa" w:w="3216"/>
            <w:shd w:fill="F8F9FA"/>
            <w:tcMar>
              <w:top w:w="85" w:type="dxa"/>
              <w:bottom w:w="85" w:type="dxa"/>
              <w:left w:w="120" w:type="dxa"/>
              <w:right w:w="120" w:type="dxa"/>
            </w:tcMar>
          </w:tcPr>
          <w:p>
            <w:pPr>
              <w:spacing w:after="0"/>
            </w:pPr>
            <w:r>
              <w:rPr>
                <w:b/>
                <w:sz w:val="19"/>
              </w:rPr>
              <w:t>CSV export</w:t>
            </w:r>
          </w:p>
        </w:tc>
        <w:tc>
          <w:tcPr>
            <w:tcW w:type="dxa" w:w="3216"/>
            <w:shd w:fill="F8F9FA"/>
            <w:tcMar>
              <w:top w:w="85" w:type="dxa"/>
              <w:bottom w:w="85" w:type="dxa"/>
              <w:left w:w="120" w:type="dxa"/>
              <w:right w:w="120" w:type="dxa"/>
            </w:tcMar>
          </w:tcPr>
          <w:p>
            <w:pPr>
              <w:spacing w:after="0"/>
            </w:pPr>
            <w:r>
              <w:rPr>
                <w:sz w:val="19"/>
              </w:rPr>
              <w:t>Step 3: Export when needed</w:t>
            </w:r>
          </w:p>
        </w:tc>
        <w:tc>
          <w:tcPr>
            <w:tcW w:type="dxa" w:w="3216"/>
            <w:shd w:fill="F8F9FA"/>
            <w:tcMar>
              <w:top w:w="85" w:type="dxa"/>
              <w:bottom w:w="85" w:type="dxa"/>
              <w:left w:w="120" w:type="dxa"/>
              <w:right w:w="120" w:type="dxa"/>
            </w:tcMar>
          </w:tcPr>
          <w:p>
            <w:pPr>
              <w:spacing w:after="0"/>
            </w:pPr>
            <w:r>
              <w:rPr>
                <w:sz w:val="19"/>
              </w:rPr>
              <w:t>Download the complete training history as a standard CSV file to open in any spreadsheet or share with a coach.</w:t>
            </w:r>
          </w:p>
        </w:tc>
      </w:tr>
    </w:tbl>
    <w:p>
      <w:pPr>
        <w:keepNext/>
        <w:spacing w:before="320" w:after="120"/>
        <w:pBdr>
          <w:bottom w:val="single" w:sz="12" w:space="4" w:color="2563EB"/>
        </w:pBdr>
      </w:pPr>
      <w:r>
        <w:rPr>
          <w:rFonts w:ascii="Segoe UI" w:hAnsi="Segoe UI"/>
          <w:b/>
          <w:color w:val="2563EB"/>
          <w:sz w:val="28"/>
        </w:rPr>
        <w:t>5. Styling, Theme System, and Responsive Design</w:t>
      </w:r>
    </w:p>
    <w:p>
      <w:pPr>
        <w:keepNext/>
        <w:spacing w:before="200" w:after="80"/>
      </w:pPr>
      <w:r>
        <w:rPr>
          <w:rFonts w:ascii="Segoe UI" w:hAnsi="Segoe UI"/>
          <w:b/>
          <w:color w:val="212529"/>
          <w:sz w:val="23"/>
        </w:rPr>
        <w:t>Dual Theme Architecture</w:t>
      </w:r>
    </w:p>
    <w:p>
      <w:r>
        <w:t>Both style.css and landing/style.css rely on CSS custom properties declared on :root for the light theme and :root[data-theme="dark"] for the dark theme. Because both HTML files read and write to the same "theme" key in localStorage, switching from light to dark on the splash page automatically carries over when the user clicks through to the landing page.</w:t>
      </w:r>
    </w:p>
    <w:p>
      <w:pPr>
        <w:spacing w:before="80" w:after="80"/>
      </w:pPr>
      <w:r>
        <w:rPr>
          <w:b/>
          <w:color w:val="6C757D"/>
          <w:sz w:val="20"/>
        </w:rPr>
        <w:t>Table 2: CSS Custom Properties Across Light and Dark Themes</w:t>
      </w:r>
    </w:p>
    <w:tbl>
      <w:tblPr>
        <w:tblW w:type="auto" w:w="0"/>
        <w:jc w:val="center"/>
        <w:tblLook w:firstColumn="1" w:firstRow="1" w:lastColumn="0" w:lastRow="0" w:noHBand="0" w:noVBand="1" w:val="04A0"/>
        <w:tblBorders>
          <w:top w:val="single" w:sz="6" w:space="0" w:color="DEE2E6"/>
          <w:bottom w:val="single" w:sz="6" w:space="0" w:color="DEE2E6"/>
          <w:left w:val="single" w:sz="6" w:space="0" w:color="DEE2E6"/>
          <w:right w:val="single" w:sz="6" w:space="0" w:color="DEE2E6"/>
          <w:insideH w:val="single" w:sz="4" w:space="0" w:color="DEE2E6"/>
          <w:insideV w:val="single" w:sz="4" w:space="0" w:color="DEE2E6"/>
        </w:tblBorders>
      </w:tblPr>
      <w:tblGrid>
        <w:gridCol w:w="3216"/>
        <w:gridCol w:w="3216"/>
        <w:gridCol w:w="3216"/>
      </w:tblGrid>
      <w:tr>
        <w:tc>
          <w:tcPr>
            <w:tcW w:type="dxa" w:w="3216"/>
            <w:shd w:fill="EFF6FF"/>
            <w:tcMar>
              <w:top w:w="80" w:type="dxa"/>
              <w:bottom w:w="80" w:type="dxa"/>
              <w:left w:w="120" w:type="dxa"/>
              <w:right w:w="120" w:type="dxa"/>
            </w:tcMar>
          </w:tcPr>
          <w:p>
            <w:pPr>
              <w:spacing w:after="0"/>
            </w:pPr>
            <w:r>
              <w:rPr>
                <w:b/>
                <w:sz w:val="19"/>
              </w:rPr>
              <w:t>CSS Variable</w:t>
            </w:r>
          </w:p>
        </w:tc>
        <w:tc>
          <w:tcPr>
            <w:tcW w:type="dxa" w:w="3216"/>
            <w:shd w:fill="EFF6FF"/>
            <w:tcMar>
              <w:top w:w="80" w:type="dxa"/>
              <w:bottom w:w="80" w:type="dxa"/>
              <w:left w:w="120" w:type="dxa"/>
              <w:right w:w="120" w:type="dxa"/>
            </w:tcMar>
          </w:tcPr>
          <w:p>
            <w:pPr>
              <w:spacing w:after="0"/>
            </w:pPr>
            <w:r>
              <w:rPr>
                <w:b/>
                <w:sz w:val="19"/>
              </w:rPr>
              <w:t>Light Theme (:root)</w:t>
            </w:r>
          </w:p>
        </w:tc>
        <w:tc>
          <w:tcPr>
            <w:tcW w:type="dxa" w:w="3216"/>
            <w:shd w:fill="EFF6FF"/>
            <w:tcMar>
              <w:top w:w="80" w:type="dxa"/>
              <w:bottom w:w="80" w:type="dxa"/>
              <w:left w:w="120" w:type="dxa"/>
              <w:right w:w="120" w:type="dxa"/>
            </w:tcMar>
          </w:tcPr>
          <w:p>
            <w:pPr>
              <w:spacing w:after="0"/>
            </w:pPr>
            <w:r>
              <w:rPr>
                <w:b/>
                <w:sz w:val="19"/>
              </w:rPr>
              <w:t>Dark Theme (:root[data-theme="dark"])</w:t>
            </w:r>
          </w:p>
        </w:tc>
      </w:tr>
      <w:tr>
        <w:tc>
          <w:tcPr>
            <w:tcW w:type="dxa" w:w="3216"/>
            <w:tcMar>
              <w:top w:w="70" w:type="dxa"/>
              <w:bottom w:w="70" w:type="dxa"/>
              <w:left w:w="120" w:type="dxa"/>
              <w:right w:w="120" w:type="dxa"/>
            </w:tcMar>
          </w:tcPr>
          <w:p>
            <w:pPr>
              <w:spacing w:after="0"/>
            </w:pPr>
            <w:r>
              <w:rPr>
                <w:rFonts w:ascii="Consolas" w:hAnsi="Consolas"/>
                <w:sz w:val="19"/>
              </w:rPr>
              <w:t>--bg</w:t>
            </w:r>
          </w:p>
        </w:tc>
        <w:tc>
          <w:tcPr>
            <w:tcW w:type="dxa" w:w="3216"/>
            <w:tcMar>
              <w:top w:w="70" w:type="dxa"/>
              <w:bottom w:w="70" w:type="dxa"/>
              <w:left w:w="120" w:type="dxa"/>
              <w:right w:w="120" w:type="dxa"/>
            </w:tcMar>
          </w:tcPr>
          <w:p>
            <w:pPr>
              <w:spacing w:after="0"/>
            </w:pPr>
            <w:r>
              <w:rPr>
                <w:rFonts w:ascii="Consolas" w:hAnsi="Consolas"/>
                <w:sz w:val="19"/>
              </w:rPr>
              <w:t>#f8f9fa</w:t>
            </w:r>
          </w:p>
        </w:tc>
        <w:tc>
          <w:tcPr>
            <w:tcW w:type="dxa" w:w="3216"/>
            <w:tcMar>
              <w:top w:w="70" w:type="dxa"/>
              <w:bottom w:w="70" w:type="dxa"/>
              <w:left w:w="120" w:type="dxa"/>
              <w:right w:w="120" w:type="dxa"/>
            </w:tcMar>
          </w:tcPr>
          <w:p>
            <w:pPr>
              <w:spacing w:after="0"/>
            </w:pPr>
            <w:r>
              <w:rPr>
                <w:rFonts w:ascii="Consolas" w:hAnsi="Consolas"/>
                <w:sz w:val="19"/>
              </w:rPr>
              <w:t>#121212</w:t>
            </w:r>
          </w:p>
        </w:tc>
      </w:tr>
      <w:tr>
        <w:tc>
          <w:tcPr>
            <w:tcW w:type="dxa" w:w="3216"/>
            <w:shd w:fill="F8F9FA"/>
            <w:tcMar>
              <w:top w:w="70" w:type="dxa"/>
              <w:bottom w:w="70" w:type="dxa"/>
              <w:left w:w="120" w:type="dxa"/>
              <w:right w:w="120" w:type="dxa"/>
            </w:tcMar>
          </w:tcPr>
          <w:p>
            <w:pPr>
              <w:spacing w:after="0"/>
            </w:pPr>
            <w:r>
              <w:rPr>
                <w:rFonts w:ascii="Consolas" w:hAnsi="Consolas"/>
                <w:sz w:val="19"/>
              </w:rPr>
              <w:t>--bg-card</w:t>
            </w:r>
          </w:p>
        </w:tc>
        <w:tc>
          <w:tcPr>
            <w:tcW w:type="dxa" w:w="3216"/>
            <w:shd w:fill="F8F9FA"/>
            <w:tcMar>
              <w:top w:w="70" w:type="dxa"/>
              <w:bottom w:w="70" w:type="dxa"/>
              <w:left w:w="120" w:type="dxa"/>
              <w:right w:w="120" w:type="dxa"/>
            </w:tcMar>
          </w:tcPr>
          <w:p>
            <w:pPr>
              <w:spacing w:after="0"/>
            </w:pPr>
            <w:r>
              <w:rPr>
                <w:rFonts w:ascii="Consolas" w:hAnsi="Consolas"/>
                <w:sz w:val="19"/>
              </w:rPr>
              <w:t>#ffffff</w:t>
            </w:r>
          </w:p>
        </w:tc>
        <w:tc>
          <w:tcPr>
            <w:tcW w:type="dxa" w:w="3216"/>
            <w:shd w:fill="F8F9FA"/>
            <w:tcMar>
              <w:top w:w="70" w:type="dxa"/>
              <w:bottom w:w="70" w:type="dxa"/>
              <w:left w:w="120" w:type="dxa"/>
              <w:right w:w="120" w:type="dxa"/>
            </w:tcMar>
          </w:tcPr>
          <w:p>
            <w:pPr>
              <w:spacing w:after="0"/>
            </w:pPr>
            <w:r>
              <w:rPr>
                <w:rFonts w:ascii="Consolas" w:hAnsi="Consolas"/>
                <w:sz w:val="19"/>
              </w:rPr>
              <w:t>#1e1e1e</w:t>
            </w:r>
          </w:p>
        </w:tc>
      </w:tr>
      <w:tr>
        <w:tc>
          <w:tcPr>
            <w:tcW w:type="dxa" w:w="3216"/>
            <w:tcMar>
              <w:top w:w="70" w:type="dxa"/>
              <w:bottom w:w="70" w:type="dxa"/>
              <w:left w:w="120" w:type="dxa"/>
              <w:right w:w="120" w:type="dxa"/>
            </w:tcMar>
          </w:tcPr>
          <w:p>
            <w:pPr>
              <w:spacing w:after="0"/>
            </w:pPr>
            <w:r>
              <w:rPr>
                <w:rFonts w:ascii="Consolas" w:hAnsi="Consolas"/>
                <w:sz w:val="19"/>
              </w:rPr>
              <w:t>--text</w:t>
            </w:r>
          </w:p>
        </w:tc>
        <w:tc>
          <w:tcPr>
            <w:tcW w:type="dxa" w:w="3216"/>
            <w:tcMar>
              <w:top w:w="70" w:type="dxa"/>
              <w:bottom w:w="70" w:type="dxa"/>
              <w:left w:w="120" w:type="dxa"/>
              <w:right w:w="120" w:type="dxa"/>
            </w:tcMar>
          </w:tcPr>
          <w:p>
            <w:pPr>
              <w:spacing w:after="0"/>
            </w:pPr>
            <w:r>
              <w:rPr>
                <w:rFonts w:ascii="Consolas" w:hAnsi="Consolas"/>
                <w:sz w:val="19"/>
              </w:rPr>
              <w:t>#212529</w:t>
            </w:r>
          </w:p>
        </w:tc>
        <w:tc>
          <w:tcPr>
            <w:tcW w:type="dxa" w:w="3216"/>
            <w:tcMar>
              <w:top w:w="70" w:type="dxa"/>
              <w:bottom w:w="70" w:type="dxa"/>
              <w:left w:w="120" w:type="dxa"/>
              <w:right w:w="120" w:type="dxa"/>
            </w:tcMar>
          </w:tcPr>
          <w:p>
            <w:pPr>
              <w:spacing w:after="0"/>
            </w:pPr>
            <w:r>
              <w:rPr>
                <w:rFonts w:ascii="Consolas" w:hAnsi="Consolas"/>
                <w:sz w:val="19"/>
              </w:rPr>
              <w:t>#e9ecef</w:t>
            </w:r>
          </w:p>
        </w:tc>
      </w:tr>
      <w:tr>
        <w:tc>
          <w:tcPr>
            <w:tcW w:type="dxa" w:w="3216"/>
            <w:shd w:fill="F8F9FA"/>
            <w:tcMar>
              <w:top w:w="70" w:type="dxa"/>
              <w:bottom w:w="70" w:type="dxa"/>
              <w:left w:w="120" w:type="dxa"/>
              <w:right w:w="120" w:type="dxa"/>
            </w:tcMar>
          </w:tcPr>
          <w:p>
            <w:pPr>
              <w:spacing w:after="0"/>
            </w:pPr>
            <w:r>
              <w:rPr>
                <w:rFonts w:ascii="Consolas" w:hAnsi="Consolas"/>
                <w:sz w:val="19"/>
              </w:rPr>
              <w:t>--muted (landing only)</w:t>
            </w:r>
          </w:p>
        </w:tc>
        <w:tc>
          <w:tcPr>
            <w:tcW w:type="dxa" w:w="3216"/>
            <w:shd w:fill="F8F9FA"/>
            <w:tcMar>
              <w:top w:w="70" w:type="dxa"/>
              <w:bottom w:w="70" w:type="dxa"/>
              <w:left w:w="120" w:type="dxa"/>
              <w:right w:w="120" w:type="dxa"/>
            </w:tcMar>
          </w:tcPr>
          <w:p>
            <w:pPr>
              <w:spacing w:after="0"/>
            </w:pPr>
            <w:r>
              <w:rPr>
                <w:rFonts w:ascii="Consolas" w:hAnsi="Consolas"/>
                <w:sz w:val="19"/>
              </w:rPr>
              <w:t>#6c757d</w:t>
            </w:r>
          </w:p>
        </w:tc>
        <w:tc>
          <w:tcPr>
            <w:tcW w:type="dxa" w:w="3216"/>
            <w:shd w:fill="F8F9FA"/>
            <w:tcMar>
              <w:top w:w="70" w:type="dxa"/>
              <w:bottom w:w="70" w:type="dxa"/>
              <w:left w:w="120" w:type="dxa"/>
              <w:right w:w="120" w:type="dxa"/>
            </w:tcMar>
          </w:tcPr>
          <w:p>
            <w:pPr>
              <w:spacing w:after="0"/>
            </w:pPr>
            <w:r>
              <w:rPr>
                <w:rFonts w:ascii="Consolas" w:hAnsi="Consolas"/>
                <w:sz w:val="19"/>
              </w:rPr>
              <w:t>#a0aec0</w:t>
            </w:r>
          </w:p>
        </w:tc>
      </w:tr>
      <w:tr>
        <w:tc>
          <w:tcPr>
            <w:tcW w:type="dxa" w:w="3216"/>
            <w:tcMar>
              <w:top w:w="70" w:type="dxa"/>
              <w:bottom w:w="70" w:type="dxa"/>
              <w:left w:w="120" w:type="dxa"/>
              <w:right w:w="120" w:type="dxa"/>
            </w:tcMar>
          </w:tcPr>
          <w:p>
            <w:pPr>
              <w:spacing w:after="0"/>
            </w:pPr>
            <w:r>
              <w:rPr>
                <w:rFonts w:ascii="Consolas" w:hAnsi="Consolas"/>
                <w:sz w:val="19"/>
              </w:rPr>
              <w:t>--accent</w:t>
            </w:r>
          </w:p>
        </w:tc>
        <w:tc>
          <w:tcPr>
            <w:tcW w:type="dxa" w:w="3216"/>
            <w:tcMar>
              <w:top w:w="70" w:type="dxa"/>
              <w:bottom w:w="70" w:type="dxa"/>
              <w:left w:w="120" w:type="dxa"/>
              <w:right w:w="120" w:type="dxa"/>
            </w:tcMar>
          </w:tcPr>
          <w:p>
            <w:pPr>
              <w:spacing w:after="0"/>
            </w:pPr>
            <w:r>
              <w:rPr>
                <w:rFonts w:ascii="Consolas" w:hAnsi="Consolas"/>
                <w:sz w:val="19"/>
              </w:rPr>
              <w:t>#2563eb</w:t>
            </w:r>
          </w:p>
        </w:tc>
        <w:tc>
          <w:tcPr>
            <w:tcW w:type="dxa" w:w="3216"/>
            <w:tcMar>
              <w:top w:w="70" w:type="dxa"/>
              <w:bottom w:w="70" w:type="dxa"/>
              <w:left w:w="120" w:type="dxa"/>
              <w:right w:w="120" w:type="dxa"/>
            </w:tcMar>
          </w:tcPr>
          <w:p>
            <w:pPr>
              <w:spacing w:after="0"/>
            </w:pPr>
            <w:r>
              <w:rPr>
                <w:rFonts w:ascii="Consolas" w:hAnsi="Consolas"/>
                <w:sz w:val="19"/>
              </w:rPr>
              <w:t>#3b82f6</w:t>
            </w:r>
          </w:p>
        </w:tc>
      </w:tr>
      <w:tr>
        <w:tc>
          <w:tcPr>
            <w:tcW w:type="dxa" w:w="3216"/>
            <w:shd w:fill="F8F9FA"/>
            <w:tcMar>
              <w:top w:w="70" w:type="dxa"/>
              <w:bottom w:w="70" w:type="dxa"/>
              <w:left w:w="120" w:type="dxa"/>
              <w:right w:w="120" w:type="dxa"/>
            </w:tcMar>
          </w:tcPr>
          <w:p>
            <w:pPr>
              <w:spacing w:after="0"/>
            </w:pPr>
            <w:r>
              <w:rPr>
                <w:rFonts w:ascii="Consolas" w:hAnsi="Consolas"/>
                <w:sz w:val="19"/>
              </w:rPr>
              <w:t>--border</w:t>
            </w:r>
          </w:p>
        </w:tc>
        <w:tc>
          <w:tcPr>
            <w:tcW w:type="dxa" w:w="3216"/>
            <w:shd w:fill="F8F9FA"/>
            <w:tcMar>
              <w:top w:w="70" w:type="dxa"/>
              <w:bottom w:w="70" w:type="dxa"/>
              <w:left w:w="120" w:type="dxa"/>
              <w:right w:w="120" w:type="dxa"/>
            </w:tcMar>
          </w:tcPr>
          <w:p>
            <w:pPr>
              <w:spacing w:after="0"/>
            </w:pPr>
            <w:r>
              <w:rPr>
                <w:rFonts w:ascii="Consolas" w:hAnsi="Consolas"/>
                <w:sz w:val="19"/>
              </w:rPr>
              <w:t>#dee2e6</w:t>
            </w:r>
          </w:p>
        </w:tc>
        <w:tc>
          <w:tcPr>
            <w:tcW w:type="dxa" w:w="3216"/>
            <w:shd w:fill="F8F9FA"/>
            <w:tcMar>
              <w:top w:w="70" w:type="dxa"/>
              <w:bottom w:w="70" w:type="dxa"/>
              <w:left w:w="120" w:type="dxa"/>
              <w:right w:w="120" w:type="dxa"/>
            </w:tcMar>
          </w:tcPr>
          <w:p>
            <w:pPr>
              <w:spacing w:after="0"/>
            </w:pPr>
            <w:r>
              <w:rPr>
                <w:rFonts w:ascii="Consolas" w:hAnsi="Consolas"/>
                <w:sz w:val="19"/>
              </w:rPr>
              <w:t>#2d3748</w:t>
            </w:r>
          </w:p>
        </w:tc>
      </w:tr>
      <w:tr>
        <w:tc>
          <w:tcPr>
            <w:tcW w:type="dxa" w:w="3216"/>
            <w:tcMar>
              <w:top w:w="70" w:type="dxa"/>
              <w:bottom w:w="70" w:type="dxa"/>
              <w:left w:w="120" w:type="dxa"/>
              <w:right w:w="120" w:type="dxa"/>
            </w:tcMar>
          </w:tcPr>
          <w:p>
            <w:pPr>
              <w:spacing w:after="0"/>
            </w:pPr>
            <w:r>
              <w:rPr>
                <w:rFonts w:ascii="Consolas" w:hAnsi="Consolas"/>
                <w:sz w:val="19"/>
              </w:rPr>
              <w:t>--on-accent (landing only)</w:t>
            </w:r>
          </w:p>
        </w:tc>
        <w:tc>
          <w:tcPr>
            <w:tcW w:type="dxa" w:w="3216"/>
            <w:tcMar>
              <w:top w:w="70" w:type="dxa"/>
              <w:bottom w:w="70" w:type="dxa"/>
              <w:left w:w="120" w:type="dxa"/>
              <w:right w:w="120" w:type="dxa"/>
            </w:tcMar>
          </w:tcPr>
          <w:p>
            <w:pPr>
              <w:spacing w:after="0"/>
            </w:pPr>
            <w:r>
              <w:rPr>
                <w:rFonts w:ascii="Consolas" w:hAnsi="Consolas"/>
                <w:sz w:val="19"/>
              </w:rPr>
              <w:t>#ffffff</w:t>
            </w:r>
          </w:p>
        </w:tc>
        <w:tc>
          <w:tcPr>
            <w:tcW w:type="dxa" w:w="3216"/>
            <w:tcMar>
              <w:top w:w="70" w:type="dxa"/>
              <w:bottom w:w="70" w:type="dxa"/>
              <w:left w:w="120" w:type="dxa"/>
              <w:right w:w="120" w:type="dxa"/>
            </w:tcMar>
          </w:tcPr>
          <w:p>
            <w:pPr>
              <w:spacing w:after="0"/>
            </w:pPr>
            <w:r>
              <w:rPr>
                <w:rFonts w:ascii="Consolas" w:hAnsi="Consolas"/>
                <w:sz w:val="19"/>
              </w:rPr>
              <w:t>#ffffff</w:t>
            </w:r>
          </w:p>
        </w:tc>
      </w:tr>
    </w:tbl>
    <w:p>
      <w:pPr>
        <w:keepNext/>
        <w:spacing w:before="200" w:after="80"/>
      </w:pPr>
      <w:r>
        <w:rPr>
          <w:rFonts w:ascii="Segoe UI" w:hAnsi="Segoe UI"/>
          <w:b/>
          <w:color w:val="212529"/>
          <w:sz w:val="23"/>
        </w:rPr>
        <w:t>Mobile-First Responsive Grid</w:t>
      </w:r>
    </w:p>
    <w:p>
      <w:r>
        <w:t>Unlike desktop-first stylesheets that shrink elements down on smaller screens, landing/style.css is written mobile-first and scales up using media queries:</w:t>
      </w:r>
    </w:p>
    <w:p>
      <w:pPr>
        <w:pStyle w:val="ListBullet"/>
        <w:spacing w:after="80" w:line="312" w:lineRule="auto"/>
      </w:pPr>
      <w:r>
        <w:rPr>
          <w:b/>
          <w:color w:val="212529"/>
        </w:rPr>
        <w:t xml:space="preserve">Base Mobile Layout (&lt; 600px): </w:t>
      </w:r>
      <w:r>
        <w:rPr>
          <w:color w:val="212529"/>
        </w:rPr>
        <w:t>The .how, .features, and .quotes grids all default to a single-column layout (grid-template-columns: 1fr). The hero action buttons stack vertically (flex-direction: column) with a max-width of 320px, the hero heading is sized at 1.8rem, and the navigation links collapse into a vertical menu controlled by #nav-toggle.</w:t>
      </w:r>
    </w:p>
    <w:p>
      <w:pPr>
        <w:pStyle w:val="ListBullet"/>
        <w:spacing w:after="80" w:line="312" w:lineRule="auto"/>
      </w:pPr>
      <w:r>
        <w:rPr>
          <w:b/>
          <w:color w:val="212529"/>
        </w:rPr>
        <w:t xml:space="preserve">Tablet Breakpoint (@media min-width: 600px): </w:t>
      </w:r>
      <w:r>
        <w:rPr>
          <w:color w:val="212529"/>
        </w:rPr>
        <w:t>The .features and .quotes grids expand to 2 columns (repeat(2, 1fr)), the 3-step .how section switches to 3 columns side-by-side (repeat(3, 1fr)), and the hero buttons align horizontally in a centered row.</w:t>
      </w:r>
    </w:p>
    <w:p>
      <w:pPr>
        <w:pStyle w:val="ListBullet"/>
        <w:spacing w:after="80" w:line="312" w:lineRule="auto"/>
      </w:pPr>
      <w:r>
        <w:rPr>
          <w:b/>
          <w:color w:val="212529"/>
        </w:rPr>
        <w:t xml:space="preserve">Desktop Breakpoint (@media min-width: 900px): </w:t>
      </w:r>
      <w:r>
        <w:rPr>
          <w:color w:val="212529"/>
        </w:rPr>
        <w:t>The .features grid expands to all 4 cards in a single row (repeat(4, 1fr)), the .quotes section displays all 3 testimonials side-by-side (repeat(3, 1fr)), and the hero heading scales up to 3rem with extra vertical padding.</w:t>
      </w:r>
    </w:p>
    <w:p>
      <w:pPr>
        <w:keepNext/>
        <w:spacing w:before="320" w:after="120"/>
        <w:pBdr>
          <w:bottom w:val="single" w:sz="12" w:space="4" w:color="2563EB"/>
        </w:pBdr>
      </w:pPr>
      <w:r>
        <w:rPr>
          <w:rFonts w:ascii="Segoe UI" w:hAnsi="Segoe UI"/>
          <w:b/>
          <w:color w:val="2563EB"/>
          <w:sz w:val="28"/>
        </w:rPr>
        <w:t>6. Client-Side JavaScript and Accessibility</w:t>
      </w:r>
    </w:p>
    <w:p>
      <w:r>
        <w:t>JavaScript is kept minimal and focused on three user interface behaviors:</w:t>
      </w:r>
    </w:p>
    <w:p>
      <w:pPr>
        <w:pStyle w:val="ListBullet"/>
        <w:spacing w:after="80" w:line="312" w:lineRule="auto"/>
      </w:pPr>
      <w:r>
        <w:rPr>
          <w:b/>
          <w:color w:val="212529"/>
        </w:rPr>
        <w:t xml:space="preserve">1. Flicker-Free Theme Persistence: </w:t>
      </w:r>
      <w:r>
        <w:rPr>
          <w:color w:val="212529"/>
        </w:rPr>
        <w:t>Both HTML files run a synchronous script inside the &lt;head&gt; before the body renders. It checks localStorage.getItem("theme") and falls back to window.matchMedia("(prefers-color-scheme: dark)").matches, setting data-theme on &lt;html&gt; right away so users never see a white flash when loading dark mode.</w:t>
      </w:r>
    </w:p>
    <w:p>
      <w:pPr>
        <w:pStyle w:val="ListBullet"/>
        <w:spacing w:after="80" w:line="312" w:lineRule="auto"/>
      </w:pPr>
      <w:r>
        <w:rPr>
          <w:b/>
          <w:color w:val="212529"/>
        </w:rPr>
        <w:t xml:space="preserve">2. Sticky Header Scroll Shadow: </w:t>
      </w:r>
      <w:r>
        <w:rPr>
          <w:color w:val="212529"/>
        </w:rPr>
        <w:t>On the landing page, a scroll event listener checks if window.scrollY &gt; 10 and toggles the .scrolled class on #site-header. This adds a subtle drop shadow (0 2px 8px rgba(0, 0, 0, 0.08)) once the page moves underneath the header.</w:t>
      </w:r>
    </w:p>
    <w:p>
      <w:pPr>
        <w:pStyle w:val="ListBullet"/>
        <w:spacing w:after="80" w:line="312" w:lineRule="auto"/>
      </w:pPr>
      <w:r>
        <w:rPr>
          <w:b/>
          <w:color w:val="212529"/>
        </w:rPr>
        <w:t xml:space="preserve">3. Accessible Mobile Menu Toggle: </w:t>
      </w:r>
      <w:r>
        <w:rPr>
          <w:color w:val="212529"/>
        </w:rPr>
        <w:t>Clicking #nav-toggle toggles the .open class on #nav-menu and updates aria-expanded between "true" and "false". Each navigation link inside the menu also has a click listener that closes the menu and resets aria-expanded="false" after jumping to a section. Keyboard users also get clear 2px solid accent outlines via :focus-visible.</w:t>
      </w:r>
    </w:p>
    <w:p>
      <w:pPr>
        <w:keepNext/>
        <w:spacing w:before="320" w:after="120"/>
        <w:pBdr>
          <w:bottom w:val="single" w:sz="12" w:space="4" w:color="2563EB"/>
        </w:pBdr>
      </w:pPr>
      <w:r>
        <w:rPr>
          <w:rFonts w:ascii="Segoe UI" w:hAnsi="Segoe UI"/>
          <w:b/>
          <w:color w:val="2563EB"/>
          <w:sz w:val="28"/>
        </w:rPr>
        <w:t>7. Small Polishing Suggestions</w:t>
      </w:r>
    </w:p>
    <w:p>
      <w:r>
        <w:t>The code and README are well aligned, and the responsive breakpoints work cleanly. If you want to polish the project further before final evaluation, here are three small details worth considering:</w:t>
      </w:r>
    </w:p>
    <w:p>
      <w:pPr>
        <w:pStyle w:val="ListBullet"/>
        <w:spacing w:after="80" w:line="312" w:lineRule="auto"/>
      </w:pPr>
      <w:r>
        <w:rPr>
          <w:b/>
          <w:color w:val="212529"/>
        </w:rPr>
        <w:t xml:space="preserve">Smooth Scrolling in CSS: </w:t>
      </w:r>
      <w:r>
        <w:rPr>
          <w:color w:val="212529"/>
        </w:rPr>
        <w:t>Adding html { scroll-behavior: smooth; } to landing/style.css (just like in your portfolio project) will make clicking the "See features", "Get started", and navbar anchor links glide smoothly to each section instead of jumping.</w:t>
      </w:r>
    </w:p>
    <w:p>
      <w:pPr>
        <w:pStyle w:val="ListBullet"/>
        <w:spacing w:after="80" w:line="312" w:lineRule="auto"/>
      </w:pPr>
      <w:r>
        <w:rPr>
          <w:b/>
          <w:color w:val="212529"/>
        </w:rPr>
        <w:t xml:space="preserve">Link Back to Splash or Top: </w:t>
      </w:r>
      <w:r>
        <w:rPr>
          <w:color w:val="212529"/>
        </w:rPr>
        <w:t>In landing/index.html, the .brand link points to #top. That works well for scrolling back to the top of the landing page, though adding a small link in the footer back to ../index.html could also let testers return to the splash screen easily.</w:t>
      </w:r>
    </w:p>
    <w:p>
      <w:pPr>
        <w:pStyle w:val="ListBullet"/>
        <w:spacing w:after="80" w:line="312" w:lineRule="auto"/>
      </w:pPr>
      <w:r>
        <w:rPr>
          <w:b/>
          <w:color w:val="212529"/>
        </w:rPr>
        <w:t xml:space="preserve">LocalStorage Try/Catch Guard: </w:t>
      </w:r>
      <w:r>
        <w:rPr>
          <w:color w:val="212529"/>
        </w:rPr>
        <w:t>In your portfolio site, you wrapped localStorage calls in a try { ... } catch (e) {} block in case a browser blocks storage in strict privacy mode. Adding that same guard to Pacelog's theme script is a nice defensive touch.</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60"/>
    </w:pPr>
    <w:rPr>
      <w:rFonts w:ascii="Segoe UI" w:hAnsi="Segoe U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