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Не выводится список доступных вакансий в англоязычной версии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страницу “Careers” в англоязычной версии сайта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https://www.glera-games.com/en/jobs-3/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убедиться что открыта версия сайта на английском языке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отображается </w:t>
      </w:r>
      <w:r w:rsidDel="00000000" w:rsidR="00000000" w:rsidRPr="00000000">
        <w:rPr>
          <w:sz w:val="28"/>
          <w:szCs w:val="28"/>
          <w:rtl w:val="0"/>
        </w:rPr>
        <w:t xml:space="preserve">список открытых вакансий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Фактический результат: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вместо списка открытых вакансий отображается текст “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There are no listings matching your search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средний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Серьезность: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низкий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Окружение:</w:t>
      </w:r>
      <w:r w:rsidDel="00000000" w:rsidR="00000000" w:rsidRPr="00000000">
        <w:rPr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 Google Chrome v.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101.0.4951.64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Вложения: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запись экрана “glera_games_1.mp4”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Тире">
    <w:name w:val="Тире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lera-games.com/en/jobs-3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7gV/PG7O8L0lZD2MoMeMQzmnw==">AMUW2mWe6J9MEScKsG1Iv9GXjWR7IIwmlbNMV71tVIzJB+HImKCqcxpUFwSOcsinh0YnCHAe5+2jVprwcVc/i3ScFegUEm52NBTkuabBTXRqmLNSRHgywVI=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