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40"/>
          <w:szCs w:val="40"/>
          <w:rtl w:val="0"/>
        </w:rPr>
        <w:t xml:space="preserve">Drug And Health Background Verification Check</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simple drug test can unveil the habits, lifestyle, and several other factors associated with a candidate’s health. It helps recruiters determine whether a candidate has taken drugs orally or injected them into the bloodstream.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Random Drug Testing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Through advertisements or job posts, you may disclose that candidates will have to undergo a drug screening test to get employment in your firm. However, this will alarm individuals who consume drugs or alcohol regularly. As a result, they might refrain from consuming them for a few weeks or months. This will lower or eliminate the chances of them testing positive for the drug test.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Therefore, you should ideally conduct random drug testing of all your employees. It will enable you to check the competency of your employees irrespective of their position, work experience, and job roles.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2. Post Accident Drug Screen Process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Accidents are bound to happen in every workplace. However, as an employer or recruiter, you must check whether the employee was under the influence of any banned drugs or alcohol during the accident. If an employee tests positive during a post-accident drug screening test, you may not provide health insurance coverage or compensation to them.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post-accident screening tests should be ideally organized within 12 hours of the accident. It will ensure that the test results are accurate because some medicines administered to recover from a medical condition or injury might contain these drugs.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3. Periodic Testing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Period testing can be one of the ways to ensure that your employees are healthy and drug-free while serving your company. It could be a monthly, quarterly, or bi-annual drug test per your requirements and the organization’s size.</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