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u w:val="single"/>
          <w:rtl w:val="0"/>
        </w:rPr>
        <w:t xml:space="preserve">Medical Leave Policy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 Purpose &amp; Brief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policy aims to provide employees of [Organization Name] with clear guidelines and support when seeking medical leave due to illness, injury, or other medical conditions.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2. Scope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policy applies to all full-time employees of [Organization Name]. Part-time employees and contractors may refer to their specific contractual agreements for related provisions.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3. Eligibility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Employees who have been with [Organization Name] for a minimum of [e.g., "six months"] are eligible to apply for medical leave.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4. Duration of Leave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Employees can avail up to [e.g., "12 weeks"] of medical leave in a calendar year. Extensions can be considered based on medical certifications and organizational requirements.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5. Documentation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Employees must provide a valid medical certificate from a registered medical practitioner, detailing the nature of the illness and the estimated recovery time.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6. Return to Work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Upon recovery, employees are expected to notify their respective managers and HR at least [e.g., "one week"] in advance of their return. A fitness certificate might be required based on the nature of the illness.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7. Compensation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As per the FMLA, employers are not mandated to provide paid leave1. However, [Organization Name] allows employees to utilize their accrued paid leaves like sick leave or vacation during this period.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8. Confidentiality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All medical records and information will be kept confidential and will only be accessed by authorized personnel for official purposes.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9. Non-retaliation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Employees availing medical leave will not face any form of retaliation or discrimination. Any such incidents should be reported to HR immediately.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Customize the policy based on the specific needs, legal requirements, and practices of your organization. Ensure compliance with relevant employment laws and regulations.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