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40AF"/>
        </w:rPr>
        <w:t>SEDG – Synthetic Experimental Data Generator</w:t>
      </w:r>
    </w:p>
    <w:p>
      <w:pPr>
        <w:jc w:val="center"/>
      </w:pPr>
      <w:r>
        <w:rPr>
          <w:color w:val="64748B"/>
          <w:sz w:val="26"/>
        </w:rPr>
        <w:t>User Guide</w:t>
      </w:r>
    </w:p>
    <w:p/>
    <w:p>
      <w:pPr>
        <w:pStyle w:val="Heading1"/>
      </w:pPr>
      <w:r>
        <w:rPr>
          <w:color w:val="1E40AF"/>
        </w:rPr>
        <w:t>1. Overview</w:t>
      </w:r>
    </w:p>
    <w:p>
      <w:pPr>
        <w:spacing w:after="120"/>
      </w:pPr>
      <w:r>
        <w:t>SEDG is a browser-based tool (synthstudy.vercel.app) that generates synthetic survey responses using Large Language Models (LLMs). It is designed for experimental research and produces a structured Excel file (.xlsx) with one row per synthetic respondent, ready for statistical analysis.</w:t>
      </w:r>
    </w:p>
    <w:p>
      <w:pPr>
        <w:spacing w:after="120"/>
      </w:pPr>
      <w:r>
        <w:t>SEDG supports two generation modes:</w:t>
      </w:r>
    </w:p>
    <w:p>
      <w:pPr>
        <w:pStyle w:val="ListBullet"/>
        <w:spacing w:after="60"/>
        <w:ind w:left="360"/>
      </w:pPr>
      <w:r>
        <w:t>Local generation – uses Ollama models running on your own machine via the OLSEDG Helper desktop app.</w:t>
      </w:r>
    </w:p>
    <w:p>
      <w:pPr>
        <w:pStyle w:val="ListBullet"/>
        <w:spacing w:after="60"/>
        <w:ind w:left="360"/>
      </w:pPr>
      <w:r>
        <w:t>Cloud generation – sends prompts directly to OpenAI, Google Gemini, Anthropic Claude, or OpenRouter using your own API key.</w:t>
      </w:r>
    </w:p>
    <w:p>
      <w:pPr>
        <w:pStyle w:val="Heading1"/>
      </w:pPr>
      <w:r>
        <w:rPr>
          <w:color w:val="1E40AF"/>
        </w:rPr>
        <w:t>2. Prerequisites</w:t>
      </w:r>
    </w:p>
    <w:p>
      <w:pPr>
        <w:pStyle w:val="Heading2"/>
      </w:pPr>
      <w:r>
        <w:rPr>
          <w:color w:val="1E40AF"/>
        </w:rPr>
        <w:t>2.1  For Local Generation</w:t>
      </w:r>
    </w:p>
    <w:p>
      <w:pPr>
        <w:pStyle w:val="ListNumber"/>
        <w:spacing w:after="60"/>
      </w:pPr>
      <w:r>
        <w:t>Download and install Ollama from ollama.com.</w:t>
      </w:r>
    </w:p>
    <w:p>
      <w:pPr>
        <w:pStyle w:val="ListNumber"/>
        <w:spacing w:after="60"/>
      </w:pPr>
      <w:r>
        <w:t>Install and run the OLSEDG Helper app (OLSEDG Helper.app on macOS).</w:t>
      </w:r>
    </w:p>
    <w:p>
      <w:pPr>
        <w:pStyle w:val="ListNumber"/>
        <w:spacing w:after="60"/>
      </w:pPr>
      <w:r>
        <w:t>In OLSEDG Helper, go to the Models tab, select a model, and click Install Model.</w:t>
      </w:r>
    </w:p>
    <w:p>
      <w:pPr>
        <w:pStyle w:val="ListNumber"/>
        <w:spacing w:after="60"/>
      </w:pPr>
      <w:r>
        <w:t>Once the model is installed, open SEDG in your browser.</w:t>
      </w:r>
    </w:p>
    <w:p>
      <w:pPr>
        <w:spacing w:after="120"/>
        <w:ind w:left="432"/>
      </w:pPr>
      <w:r>
        <w:rPr>
          <w:b/>
          <w:color w:val="DC2626"/>
        </w:rPr>
        <w:t xml:space="preserve">Note: </w:t>
      </w:r>
      <w:r>
        <w:rPr>
          <w:color w:val="475569"/>
        </w:rPr>
        <w:t>OLSEDG Helper must remain open throughout generation. Closing it stops the server.</w:t>
      </w:r>
    </w:p>
    <w:p>
      <w:pPr>
        <w:pStyle w:val="Heading2"/>
      </w:pPr>
      <w:r>
        <w:rPr>
          <w:color w:val="1E40AF"/>
        </w:rPr>
        <w:t>2.2  For Cloud Generation</w:t>
      </w:r>
    </w:p>
    <w:p>
      <w:pPr>
        <w:pStyle w:val="ListNumber"/>
        <w:spacing w:after="60"/>
      </w:pPr>
      <w:r>
        <w:t>Open SEDG in your browser (no OLSEDG Helper needed).</w:t>
      </w:r>
    </w:p>
    <w:p>
      <w:pPr>
        <w:pStyle w:val="ListNumber"/>
        <w:spacing w:after="60"/>
      </w:pPr>
      <w:r>
        <w:t>Select Cloud in the LLM Provider section and choose your provider.</w:t>
      </w:r>
    </w:p>
    <w:p>
      <w:pPr>
        <w:pStyle w:val="ListNumber"/>
        <w:spacing w:after="60"/>
      </w:pPr>
      <w:r>
        <w:t>Enter your API key in the field provided. Keys are used only in your browser and are never stored.</w:t>
      </w:r>
    </w:p>
    <w:p>
      <w:pPr>
        <w:pStyle w:val="Heading1"/>
      </w:pPr>
      <w:r>
        <w:rPr>
          <w:color w:val="1E40AF"/>
        </w:rPr>
        <w:t>3. Step-by-Step Workflow</w:t>
      </w:r>
    </w:p>
    <w:p>
      <w:pPr>
        <w:pStyle w:val="Heading2"/>
      </w:pPr>
      <w:r>
        <w:rPr>
          <w:color w:val="1E40AF"/>
        </w:rPr>
        <w:t>Step 1 – Enter Study Name</w:t>
      </w:r>
    </w:p>
    <w:p>
      <w:pPr>
        <w:spacing w:after="120"/>
      </w:pPr>
      <w:r>
        <w:t>Type a short, descriptive name for your study. This name appears in the output file and in the study info Word document.</w:t>
      </w:r>
    </w:p>
    <w:p>
      <w:pPr>
        <w:pStyle w:val="Heading2"/>
      </w:pPr>
      <w:r>
        <w:rPr>
          <w:color w:val="1E40AF"/>
        </w:rPr>
        <w:t>Step 2 – Select a Language Model</w:t>
      </w:r>
    </w:p>
    <w:p>
      <w:pPr>
        <w:spacing w:after="120"/>
      </w:pPr>
      <w:r>
        <w:t>Choose Local or Cloud, then select or type the model name.</w:t>
      </w:r>
    </w:p>
    <w:p>
      <w:pPr>
        <w:pStyle w:val="ListBullet"/>
        <w:spacing w:after="60"/>
        <w:ind w:left="360"/>
      </w:pPr>
      <w:r>
        <w:t>Local models (via Ollama): llama3.1:8b, gemma3:4b, mistral:7b-instruct, etc.</w:t>
      </w:r>
    </w:p>
    <w:p>
      <w:pPr>
        <w:pStyle w:val="ListBullet"/>
        <w:spacing w:after="60"/>
        <w:ind w:left="360"/>
      </w:pPr>
      <w:r>
        <w:t>Cloud models: GPT-4o, Gemini 2.5 Pro, Claude Sonnet, and others via OpenRouter.</w:t>
      </w:r>
    </w:p>
    <w:p>
      <w:pPr>
        <w:pStyle w:val="ListBullet"/>
        <w:spacing w:after="60"/>
        <w:ind w:left="360"/>
      </w:pPr>
      <w:r>
        <w:t>Temperature: controls response randomness. 0 = deterministic, 1 = highly variable. Default is 0.7.</w:t>
      </w:r>
    </w:p>
    <w:p>
      <w:pPr>
        <w:spacing w:after="120"/>
        <w:ind w:left="432"/>
      </w:pPr>
      <w:r>
        <w:rPr>
          <w:b/>
          <w:color w:val="DC2626"/>
        </w:rPr>
        <w:t xml:space="preserve">Note: </w:t>
      </w:r>
      <w:r>
        <w:rPr>
          <w:color w:val="475569"/>
        </w:rPr>
        <w:t>If you type a custom model name, make sure the spelling matches exactly what the provider requires.</w:t>
      </w:r>
    </w:p>
    <w:p>
      <w:pPr>
        <w:pStyle w:val="Heading2"/>
      </w:pPr>
      <w:r>
        <w:rPr>
          <w:color w:val="1E40AF"/>
        </w:rPr>
        <w:t>Step 3 – Set Up Conditions and Stimuli</w:t>
      </w:r>
    </w:p>
    <w:p>
      <w:pPr>
        <w:spacing w:after="120"/>
      </w:pPr>
      <w:r>
        <w:t>Enter the number of experimental conditions, then fill in each condition:</w:t>
      </w:r>
    </w:p>
    <w:p>
      <w:pPr>
        <w:pStyle w:val="ListBullet"/>
        <w:spacing w:after="60"/>
        <w:ind w:left="360"/>
      </w:pPr>
      <w:r>
        <w:t>Condition code – a numeric code written to the output file (default: 1, 2, 3 …). You can customise this.</w:t>
      </w:r>
    </w:p>
    <w:p>
      <w:pPr>
        <w:pStyle w:val="ListBullet"/>
        <w:spacing w:after="60"/>
        <w:ind w:left="360"/>
      </w:pPr>
      <w:r>
        <w:t>Condition name – a readable label (e.g. 'Control', 'Treatment A').</w:t>
      </w:r>
    </w:p>
    <w:p>
      <w:pPr>
        <w:pStyle w:val="ListBullet"/>
        <w:spacing w:after="60"/>
        <w:ind w:left="360"/>
      </w:pPr>
      <w:r>
        <w:t>Stimuli – the text shown to the synthetic respondent. Embed question placeholders using {Q1}, {Q2}, etc. and image placeholders using {Image1}, {Image2}, etc.</w:t>
      </w:r>
    </w:p>
    <w:p>
      <w:pPr>
        <w:spacing w:after="120"/>
      </w:pPr>
      <w:r>
        <w:t>Stimuli Assignment:</w:t>
      </w:r>
    </w:p>
    <w:p>
      <w:pPr>
        <w:pStyle w:val="ListBullet"/>
        <w:spacing w:after="60"/>
        <w:ind w:left="360"/>
      </w:pPr>
      <w:r>
        <w:t>Randomly – respondents are assigned to conditions at random (recommended for most experiments).</w:t>
      </w:r>
    </w:p>
    <w:p>
      <w:pPr>
        <w:pStyle w:val="ListBullet"/>
        <w:spacing w:after="60"/>
        <w:ind w:left="360"/>
      </w:pPr>
      <w:r>
        <w:t>Non-randomly (in order) – the first N respondents go to Condition 1, the next N to Condition 2, and so on.</w:t>
      </w:r>
    </w:p>
    <w:p>
      <w:pPr>
        <w:pStyle w:val="Heading2"/>
      </w:pPr>
      <w:r>
        <w:rPr>
          <w:color w:val="1E40AF"/>
        </w:rPr>
        <w:t>Step 4 – Define Survey Questions</w:t>
      </w:r>
    </w:p>
    <w:p>
      <w:pPr>
        <w:spacing w:after="120"/>
      </w:pPr>
      <w:r>
        <w:t>Add one question per question card. Each question requires:</w:t>
      </w:r>
    </w:p>
    <w:p>
      <w:pPr>
        <w:pStyle w:val="ListBullet"/>
        <w:spacing w:after="60"/>
        <w:ind w:left="360"/>
      </w:pPr>
      <w:r>
        <w:t>Question text.</w:t>
      </w:r>
    </w:p>
    <w:p>
      <w:pPr>
        <w:pStyle w:val="ListBullet"/>
        <w:spacing w:after="60"/>
        <w:ind w:left="360"/>
      </w:pPr>
      <w:r>
        <w:t>Question type:</w:t>
      </w:r>
    </w:p>
    <w:p>
      <w:pPr>
        <w:pStyle w:val="ListBullet"/>
        <w:spacing w:after="60"/>
        <w:ind w:left="720"/>
      </w:pPr>
      <w:r>
        <w:t>Discrete – integer rating (e.g. 1 to 7 Likert scale). Enter one label per scale point.</w:t>
      </w:r>
    </w:p>
    <w:p>
      <w:pPr>
        <w:pStyle w:val="ListBullet"/>
        <w:spacing w:after="60"/>
        <w:ind w:left="720"/>
      </w:pPr>
      <w:r>
        <w:t>Continuous – decimal rating within a range.</w:t>
      </w:r>
    </w:p>
    <w:p>
      <w:pPr>
        <w:pStyle w:val="ListBullet"/>
        <w:spacing w:after="60"/>
        <w:ind w:left="720"/>
      </w:pPr>
      <w:r>
        <w:t>Text – open-ended text response. Optionally set a maximum word count.</w:t>
      </w:r>
    </w:p>
    <w:p>
      <w:pPr>
        <w:pStyle w:val="ListBullet"/>
        <w:spacing w:after="60"/>
        <w:ind w:left="360"/>
      </w:pPr>
      <w:r>
        <w:t>Scale starting point – the number the scale begins at (default: 1).</w:t>
      </w:r>
    </w:p>
    <w:p>
      <w:pPr>
        <w:spacing w:after="120"/>
      </w:pPr>
      <w:r>
        <w:t>Place each question in the stimuli by typing {Q1}, {Q2}, etc. at the exact position you want it to appear in the prompt sent to the model.</w:t>
      </w:r>
    </w:p>
    <w:p>
      <w:pPr>
        <w:pStyle w:val="Heading2"/>
      </w:pPr>
      <w:r>
        <w:rPr>
          <w:color w:val="1E40AF"/>
        </w:rPr>
        <w:t>Step 5 – Choose Persona Settings</w:t>
      </w:r>
    </w:p>
    <w:p>
      <w:pPr>
        <w:spacing w:after="120"/>
      </w:pPr>
      <w:r>
        <w:t>Select Persona Source:</w:t>
      </w:r>
    </w:p>
    <w:p>
      <w:pPr>
        <w:pStyle w:val="ListBullet"/>
        <w:spacing w:after="60"/>
        <w:ind w:left="360"/>
      </w:pPr>
      <w:r>
        <w:t>Default personas – draws from the Toubia et al. Twin-2K-500 dataset (~2,058 real-world personas from Hugging Face).</w:t>
      </w:r>
    </w:p>
    <w:p>
      <w:pPr>
        <w:pStyle w:val="ListBullet"/>
        <w:spacing w:after="60"/>
        <w:ind w:left="360"/>
      </w:pPr>
      <w:r>
        <w:t>Input personas – upload your own Excel file with columns pid and persona.</w:t>
      </w:r>
    </w:p>
    <w:p>
      <w:pPr>
        <w:pStyle w:val="ListBullet"/>
        <w:spacing w:after="60"/>
        <w:ind w:left="360"/>
      </w:pPr>
      <w:r>
        <w:t>No persona – responses are generated without any persona framing.</w:t>
      </w:r>
    </w:p>
    <w:p>
      <w:pPr>
        <w:spacing w:after="120"/>
      </w:pPr>
      <w:r>
        <w:t>Select Persona Assignment Method (hidden when No persona is selected):</w:t>
      </w:r>
    </w:p>
    <w:p>
      <w:pPr>
        <w:pStyle w:val="ListBullet"/>
        <w:spacing w:after="60"/>
        <w:ind w:left="360"/>
      </w:pPr>
      <w:r>
        <w:t>Randomly – personas are drawn at random. If more respondents than personas are needed, personas are resampled with replacement.</w:t>
      </w:r>
    </w:p>
    <w:p>
      <w:pPr>
        <w:pStyle w:val="ListBullet"/>
        <w:spacing w:after="60"/>
        <w:ind w:left="360"/>
      </w:pPr>
      <w:r>
        <w:t>Non-randomly (in order) – personas are selected in ascending pid order. If more respondents are needed than personas available, the list wraps from the beginning.</w:t>
      </w:r>
    </w:p>
    <w:p>
      <w:pPr>
        <w:pStyle w:val="Heading2"/>
      </w:pPr>
      <w:r>
        <w:rPr>
          <w:color w:val="1E40AF"/>
        </w:rPr>
        <w:t>Step 6 – (Optional) Add a Generic Instruction</w:t>
      </w:r>
    </w:p>
    <w:p>
      <w:pPr>
        <w:spacing w:after="120"/>
      </w:pPr>
      <w:r>
        <w:t>The Generic Instruction box lets you replace the default prompt template entirely. Use the placeholders {persona}, {embedded_stimuli}, and {answer_template} to insert the relevant content into your custom prompt. Leave blank to use the built-in template.</w:t>
      </w:r>
    </w:p>
    <w:p>
      <w:pPr>
        <w:pStyle w:val="Heading2"/>
      </w:pPr>
      <w:r>
        <w:rPr>
          <w:color w:val="1E40AF"/>
        </w:rPr>
        <w:t>Step 7 – Preview</w:t>
      </w:r>
    </w:p>
    <w:p>
      <w:pPr>
        <w:spacing w:after="120"/>
      </w:pPr>
      <w:r>
        <w:t>Click View Preview to see the full input table that will be sent to the model, including assigned personas, conditions, prompts, and column headers. Click Download Preview to save the preview as an Excel file.</w:t>
      </w:r>
    </w:p>
    <w:p>
      <w:pPr>
        <w:spacing w:after="120"/>
        <w:ind w:left="432"/>
      </w:pPr>
      <w:r>
        <w:rPr>
          <w:b/>
          <w:color w:val="DC2626"/>
        </w:rPr>
        <w:t xml:space="preserve">Note: </w:t>
      </w:r>
      <w:r>
        <w:rPr>
          <w:color w:val="475569"/>
        </w:rPr>
        <w:t>The preview uses the same persona and stimuli assignment logic as generation. Each click of View Preview with 'Randomly' selected will show a different random sample — this is expected. With 'Non-randomly' selected, the preview is stable across clicks.</w:t>
      </w:r>
    </w:p>
    <w:p>
      <w:pPr>
        <w:pStyle w:val="Heading2"/>
      </w:pPr>
      <w:r>
        <w:rPr>
          <w:color w:val="1E40AF"/>
        </w:rPr>
        <w:t>Step 8 – Generate Responses</w:t>
      </w:r>
    </w:p>
    <w:p>
      <w:pPr>
        <w:spacing w:after="120"/>
      </w:pPr>
      <w:r>
        <w:t>Click Generate Responses to start generation.</w:t>
      </w:r>
    </w:p>
    <w:p>
      <w:pPr>
        <w:pStyle w:val="ListBullet"/>
        <w:spacing w:after="60"/>
        <w:ind w:left="360"/>
      </w:pPr>
      <w:r>
        <w:t>A progress bar shows how many respondents have been completed.</w:t>
      </w:r>
    </w:p>
    <w:p>
      <w:pPr>
        <w:pStyle w:val="ListBullet"/>
        <w:spacing w:after="60"/>
        <w:ind w:left="360"/>
      </w:pPr>
      <w:r>
        <w:t>Do not close the browser tab during generation – this will stop the job early.</w:t>
      </w:r>
    </w:p>
    <w:p>
      <w:pPr>
        <w:pStyle w:val="ListBullet"/>
        <w:spacing w:after="60"/>
        <w:ind w:left="360"/>
      </w:pPr>
      <w:r>
        <w:t>If you do close the tab accidentally, all responses generated so far are automatically saved to your Downloads folder.</w:t>
      </w:r>
    </w:p>
    <w:p>
      <w:pPr>
        <w:pStyle w:val="ListBullet"/>
        <w:spacing w:after="60"/>
        <w:ind w:left="360"/>
      </w:pPr>
      <w:r>
        <w:t>Click Stop Generation at any time to end early and save what has been generated.</w:t>
      </w:r>
    </w:p>
    <w:p>
      <w:pPr>
        <w:spacing w:after="120"/>
      </w:pPr>
      <w:r>
        <w:t>When generation completes (or is stopped), the output Excel file is saved directly to your Downloads folder and a browser download is triggered automatically.</w:t>
      </w:r>
    </w:p>
    <w:p>
      <w:pPr>
        <w:pStyle w:val="Heading1"/>
      </w:pPr>
      <w:r>
        <w:rPr>
          <w:color w:val="1E40AF"/>
        </w:rPr>
        <w:t>4. Output File Columns</w:t>
      </w:r>
    </w:p>
    <w:p>
      <w:pPr>
        <w:spacing w:after="120"/>
      </w:pPr>
      <w:r>
        <w:t>The generated Excel file (SEDG_&lt;N&gt;samples_&lt;timestamp&gt;.xlsx) contains one row per synthetic respondent with the following columns:</w:t>
      </w:r>
    </w:p>
    <w:tbl>
      <w:tblPr>
        <w:tblStyle w:val="TableGrid"/>
        <w:tblW w:type="auto" w:w="0"/>
        <w:tblLook w:firstColumn="1" w:firstRow="1" w:lastColumn="0" w:lastRow="0" w:noHBand="0" w:noVBand="1" w:val="04A0"/>
      </w:tblPr>
      <w:tblGrid>
        <w:gridCol w:w="4320"/>
        <w:gridCol w:w="4320"/>
      </w:tblGrid>
      <w:tr>
        <w:tc>
          <w:tcPr>
            <w:tcW w:type="dxa" w:w="4320"/>
          </w:tcPr>
          <w:p>
            <w:r>
              <w:rPr>
                <w:b/>
                <w:color w:val="1E40AF"/>
              </w:rPr>
              <w:t>Column</w:t>
            </w:r>
          </w:p>
        </w:tc>
        <w:tc>
          <w:tcPr>
            <w:tcW w:type="dxa" w:w="4320"/>
          </w:tcPr>
          <w:p>
            <w:r>
              <w:rPr>
                <w:b/>
                <w:color w:val="1E40AF"/>
              </w:rPr>
              <w:t>Description</w:t>
            </w:r>
          </w:p>
        </w:tc>
      </w:tr>
      <w:tr>
        <w:tc>
          <w:tcPr>
            <w:tcW w:type="dxa" w:w="4320"/>
          </w:tcPr>
          <w:p>
            <w:r>
              <w:rPr>
                <w:b/>
              </w:rPr>
              <w:t>respondent_id</w:t>
            </w:r>
          </w:p>
        </w:tc>
        <w:tc>
          <w:tcPr>
            <w:tcW w:type="dxa" w:w="4320"/>
          </w:tcPr>
          <w:p>
            <w:r>
              <w:t>Sequential respondent number (1, 2, 3 …).</w:t>
            </w:r>
          </w:p>
        </w:tc>
      </w:tr>
      <w:tr>
        <w:tc>
          <w:tcPr>
            <w:tcW w:type="dxa" w:w="4320"/>
          </w:tcPr>
          <w:p>
            <w:r>
              <w:rPr>
                <w:b/>
              </w:rPr>
              <w:t>study_name</w:t>
            </w:r>
          </w:p>
        </w:tc>
        <w:tc>
          <w:tcPr>
            <w:tcW w:type="dxa" w:w="4320"/>
          </w:tcPr>
          <w:p>
            <w:r>
              <w:t>Study name as entered in Step 1.</w:t>
            </w:r>
          </w:p>
        </w:tc>
      </w:tr>
      <w:tr>
        <w:tc>
          <w:tcPr>
            <w:tcW w:type="dxa" w:w="4320"/>
          </w:tcPr>
          <w:p>
            <w:r>
              <w:rPr>
                <w:b/>
              </w:rPr>
              <w:t>pid</w:t>
            </w:r>
          </w:p>
        </w:tc>
        <w:tc>
          <w:tcPr>
            <w:tcW w:type="dxa" w:w="4320"/>
          </w:tcPr>
          <w:p>
            <w:r>
              <w:t>Persona ID from the dataset or custom file. 'no_persona_N' when no persona is used.</w:t>
            </w:r>
          </w:p>
        </w:tc>
      </w:tr>
      <w:tr>
        <w:tc>
          <w:tcPr>
            <w:tcW w:type="dxa" w:w="4320"/>
          </w:tcPr>
          <w:p>
            <w:r>
              <w:rPr>
                <w:b/>
              </w:rPr>
              <w:t>persona_summary</w:t>
            </w:r>
          </w:p>
        </w:tc>
        <w:tc>
          <w:tcPr>
            <w:tcW w:type="dxa" w:w="4320"/>
          </w:tcPr>
          <w:p>
            <w:r>
              <w:t>Full persona text used for this respondent. Empty when no persona is used.</w:t>
            </w:r>
          </w:p>
        </w:tc>
      </w:tr>
      <w:tr>
        <w:tc>
          <w:tcPr>
            <w:tcW w:type="dxa" w:w="4320"/>
          </w:tcPr>
          <w:p>
            <w:r>
              <w:rPr>
                <w:b/>
              </w:rPr>
              <w:t>condition_code</w:t>
            </w:r>
          </w:p>
        </w:tc>
        <w:tc>
          <w:tcPr>
            <w:tcW w:type="dxa" w:w="4320"/>
          </w:tcPr>
          <w:p>
            <w:r>
              <w:t>Numeric condition code entered by the researcher (Step 3).</w:t>
            </w:r>
          </w:p>
        </w:tc>
      </w:tr>
      <w:tr>
        <w:tc>
          <w:tcPr>
            <w:tcW w:type="dxa" w:w="4320"/>
          </w:tcPr>
          <w:p>
            <w:r>
              <w:rPr>
                <w:b/>
              </w:rPr>
              <w:t>condition_name</w:t>
            </w:r>
          </w:p>
        </w:tc>
        <w:tc>
          <w:tcPr>
            <w:tcW w:type="dxa" w:w="4320"/>
          </w:tcPr>
          <w:p>
            <w:r>
              <w:t>Human-readable condition label (e.g. 'Control').</w:t>
            </w:r>
          </w:p>
        </w:tc>
      </w:tr>
      <w:tr>
        <w:tc>
          <w:tcPr>
            <w:tcW w:type="dxa" w:w="4320"/>
          </w:tcPr>
          <w:p>
            <w:r>
              <w:rPr>
                <w:b/>
              </w:rPr>
              <w:t>condition_stimuli</w:t>
            </w:r>
          </w:p>
        </w:tc>
        <w:tc>
          <w:tcPr>
            <w:tcW w:type="dxa" w:w="4320"/>
          </w:tcPr>
          <w:p>
            <w:r>
              <w:t>Full stimuli text shown to the model for this respondent.</w:t>
            </w:r>
          </w:p>
        </w:tc>
      </w:tr>
      <w:tr>
        <w:tc>
          <w:tcPr>
            <w:tcW w:type="dxa" w:w="4320"/>
          </w:tcPr>
          <w:p>
            <w:r>
              <w:rPr>
                <w:b/>
              </w:rPr>
              <w:t>model_name</w:t>
            </w:r>
          </w:p>
        </w:tc>
        <w:tc>
          <w:tcPr>
            <w:tcW w:type="dxa" w:w="4320"/>
          </w:tcPr>
          <w:p>
            <w:r>
              <w:t>Name of the LLM used for this respondent.</w:t>
            </w:r>
          </w:p>
        </w:tc>
      </w:tr>
      <w:tr>
        <w:tc>
          <w:tcPr>
            <w:tcW w:type="dxa" w:w="4320"/>
          </w:tcPr>
          <w:p>
            <w:r>
              <w:rPr>
                <w:b/>
              </w:rPr>
              <w:t>temperature</w:t>
            </w:r>
          </w:p>
        </w:tc>
        <w:tc>
          <w:tcPr>
            <w:tcW w:type="dxa" w:w="4320"/>
          </w:tcPr>
          <w:p>
            <w:r>
              <w:t>Temperature setting used.</w:t>
            </w:r>
          </w:p>
        </w:tc>
      </w:tr>
      <w:tr>
        <w:tc>
          <w:tcPr>
            <w:tcW w:type="dxa" w:w="4320"/>
          </w:tcPr>
          <w:p>
            <w:r>
              <w:rPr>
                <w:b/>
              </w:rPr>
              <w:t>validation</w:t>
            </w:r>
          </w:p>
        </w:tc>
        <w:tc>
          <w:tcPr>
            <w:tcW w:type="dxa" w:w="4320"/>
          </w:tcPr>
          <w:p>
            <w:r>
              <w:t>'valid' if all question responses passed format and range checks; 'invalid' otherwise.</w:t>
            </w:r>
          </w:p>
        </w:tc>
      </w:tr>
      <w:tr>
        <w:tc>
          <w:tcPr>
            <w:tcW w:type="dxa" w:w="4320"/>
          </w:tcPr>
          <w:p>
            <w:r>
              <w:rPr>
                <w:b/>
              </w:rPr>
              <w:t>invalid_questions</w:t>
            </w:r>
          </w:p>
        </w:tc>
        <w:tc>
          <w:tcPr>
            <w:tcW w:type="dxa" w:w="4320"/>
          </w:tcPr>
          <w:p>
            <w:r>
              <w:t>Comma-separated list of question IDs that failed validation (empty if all valid).</w:t>
            </w:r>
          </w:p>
        </w:tc>
      </w:tr>
      <w:tr>
        <w:tc>
          <w:tcPr>
            <w:tcW w:type="dxa" w:w="4320"/>
          </w:tcPr>
          <w:p>
            <w:r>
              <w:rPr>
                <w:b/>
              </w:rPr>
              <w:t>retry_count</w:t>
            </w:r>
          </w:p>
        </w:tc>
        <w:tc>
          <w:tcPr>
            <w:tcW w:type="dxa" w:w="4320"/>
          </w:tcPr>
          <w:p>
            <w:r>
              <w:t>Number of generation attempts made for this respondent (max 5).</w:t>
            </w:r>
          </w:p>
        </w:tc>
      </w:tr>
      <w:tr>
        <w:tc>
          <w:tcPr>
            <w:tcW w:type="dxa" w:w="4320"/>
          </w:tcPr>
          <w:p>
            <w:r>
              <w:rPr>
                <w:b/>
              </w:rPr>
              <w:t>seconds_taken</w:t>
            </w:r>
          </w:p>
        </w:tc>
        <w:tc>
          <w:tcPr>
            <w:tcW w:type="dxa" w:w="4320"/>
          </w:tcPr>
          <w:p>
            <w:r>
              <w:t>Wall-clock time in seconds to generate this respondent's response.</w:t>
            </w:r>
          </w:p>
        </w:tc>
      </w:tr>
      <w:tr>
        <w:tc>
          <w:tcPr>
            <w:tcW w:type="dxa" w:w="4320"/>
          </w:tcPr>
          <w:p>
            <w:r>
              <w:rPr>
                <w:b/>
              </w:rPr>
              <w:t>prompt</w:t>
            </w:r>
          </w:p>
        </w:tc>
        <w:tc>
          <w:tcPr>
            <w:tcW w:type="dxa" w:w="4320"/>
          </w:tcPr>
          <w:p>
            <w:r>
              <w:t>Full prompt sent to the model.</w:t>
            </w:r>
          </w:p>
        </w:tc>
      </w:tr>
      <w:tr>
        <w:tc>
          <w:tcPr>
            <w:tcW w:type="dxa" w:w="4320"/>
          </w:tcPr>
          <w:p>
            <w:r>
              <w:rPr>
                <w:b/>
              </w:rPr>
              <w:t>prompt_words</w:t>
            </w:r>
          </w:p>
        </w:tc>
        <w:tc>
          <w:tcPr>
            <w:tcW w:type="dxa" w:w="4320"/>
          </w:tcPr>
          <w:p>
            <w:r>
              <w:t>Word count of the prompt.</w:t>
            </w:r>
          </w:p>
        </w:tc>
      </w:tr>
      <w:tr>
        <w:tc>
          <w:tcPr>
            <w:tcW w:type="dxa" w:w="4320"/>
          </w:tcPr>
          <w:p>
            <w:r>
              <w:rPr>
                <w:b/>
              </w:rPr>
              <w:t>num_ctx_used</w:t>
            </w:r>
          </w:p>
        </w:tc>
        <w:tc>
          <w:tcPr>
            <w:tcW w:type="dxa" w:w="4320"/>
          </w:tcPr>
          <w:p>
            <w:r>
              <w:t>Estimated context window tokens requested from Ollama.</w:t>
            </w:r>
          </w:p>
        </w:tc>
      </w:tr>
      <w:tr>
        <w:tc>
          <w:tcPr>
            <w:tcW w:type="dxa" w:w="4320"/>
          </w:tcPr>
          <w:p>
            <w:r>
              <w:rPr>
                <w:b/>
              </w:rPr>
              <w:t>raw_response</w:t>
            </w:r>
          </w:p>
        </w:tc>
        <w:tc>
          <w:tcPr>
            <w:tcW w:type="dxa" w:w="4320"/>
          </w:tcPr>
          <w:p>
            <w:r>
              <w:t>Raw text returned by the model before parsing.</w:t>
            </w:r>
          </w:p>
        </w:tc>
      </w:tr>
      <w:tr>
        <w:tc>
          <w:tcPr>
            <w:tcW w:type="dxa" w:w="4320"/>
          </w:tcPr>
          <w:p>
            <w:r>
              <w:rPr>
                <w:b/>
              </w:rPr>
              <w:t>Q1, Q2, …</w:t>
            </w:r>
          </w:p>
        </w:tc>
        <w:tc>
          <w:tcPr>
            <w:tcW w:type="dxa" w:w="4320"/>
          </w:tcPr>
          <w:p>
            <w:r>
              <w:t>Parsed answer for each survey question. Numeric for scale questions; text for open-ended.</w:t>
            </w:r>
          </w:p>
        </w:tc>
      </w:tr>
    </w:tbl>
    <w:p/>
    <w:p>
      <w:pPr>
        <w:pStyle w:val="Heading1"/>
      </w:pPr>
      <w:r>
        <w:rPr>
          <w:color w:val="1E40AF"/>
        </w:rPr>
        <w:t>5. Response Validation</w:t>
      </w:r>
    </w:p>
    <w:p>
      <w:pPr>
        <w:spacing w:after="120"/>
      </w:pPr>
      <w:r>
        <w:t>After each LLM response, SEDG checks every question answer using the following rules:</w:t>
      </w:r>
    </w:p>
    <w:p>
      <w:pPr>
        <w:pStyle w:val="ListBullet"/>
        <w:spacing w:after="60"/>
        <w:ind w:left="360"/>
      </w:pPr>
      <w:r>
        <w:t>Discrete / Continuous questions – the response must match the pattern Q1 = &lt;number&gt; and the number must fall within the defined scale range (e.g. 1–7). Decimals are allowed for continuous questions only.</w:t>
      </w:r>
    </w:p>
    <w:p>
      <w:pPr>
        <w:pStyle w:val="ListBullet"/>
        <w:spacing w:after="60"/>
        <w:ind w:left="360"/>
      </w:pPr>
      <w:r>
        <w:t>Text questions – the response must match Q1 = "&lt;text&gt;" or Q1 = &lt;text&gt;. Any non-empty text is accepted (no word-count enforcement at parse time).</w:t>
      </w:r>
    </w:p>
    <w:p>
      <w:pPr>
        <w:spacing w:after="120"/>
      </w:pPr>
      <w:r>
        <w:t>If any question fails, the response is marked invalid and the model is called again automatically, up to 5 attempts total. If still invalid after 5 attempts, the last response is saved with validation = 'invalid' so no respondent row is lost. Researchers should filter or inspect rows where validation = 'invalid' before analysis.</w:t>
      </w:r>
    </w:p>
    <w:p>
      <w:pPr>
        <w:pStyle w:val="Heading1"/>
      </w:pPr>
      <w:r>
        <w:rPr>
          <w:color w:val="1E40AF"/>
        </w:rPr>
        <w:t>6. Additional Downloads</w:t>
      </w:r>
    </w:p>
    <w:p>
      <w:pPr>
        <w:pStyle w:val="ListBullet"/>
        <w:spacing w:after="60"/>
        <w:ind w:left="360"/>
      </w:pPr>
      <w:r>
        <w:t>Download Study Info – saves a Word document summarising the study design: conditions, stimuli, question texts, scale types, ranges, and labels.</w:t>
      </w:r>
    </w:p>
    <w:p>
      <w:pPr>
        <w:pStyle w:val="ListBullet"/>
        <w:spacing w:after="60"/>
        <w:ind w:left="360"/>
      </w:pPr>
      <w:r>
        <w:t>Download Preview – saves the full preview input table as an Excel file (SEDG_preview_&lt;timestamp&gt;.xlsx).</w:t>
      </w:r>
    </w:p>
    <w:p>
      <w:pPr>
        <w:pStyle w:val="Heading1"/>
      </w:pPr>
      <w:r>
        <w:rPr>
          <w:color w:val="1E40AF"/>
        </w:rPr>
        <w:t>7. Tips and Troubleshooting</w:t>
      </w:r>
    </w:p>
    <w:p>
      <w:pPr>
        <w:pStyle w:val="Heading2"/>
      </w:pPr>
      <w:r>
        <w:rPr>
          <w:color w:val="1E40AF"/>
        </w:rPr>
        <w:t>OLSEDG Helper not detected</w:t>
      </w:r>
    </w:p>
    <w:p>
      <w:pPr>
        <w:pStyle w:val="ListBullet"/>
        <w:spacing w:after="60"/>
        <w:ind w:left="360"/>
      </w:pPr>
      <w:r>
        <w:t>Make sure the OLSEDG Helper app is open before clicking Generate Responses.</w:t>
      </w:r>
    </w:p>
    <w:p>
      <w:pPr>
        <w:pStyle w:val="ListBullet"/>
        <w:spacing w:after="60"/>
        <w:ind w:left="360"/>
      </w:pPr>
      <w:r>
        <w:t>The app runs a local server on port 8000. Check that no other application is using that port.</w:t>
      </w:r>
    </w:p>
    <w:p>
      <w:pPr>
        <w:pStyle w:val="Heading2"/>
      </w:pPr>
      <w:r>
        <w:rPr>
          <w:color w:val="1E40AF"/>
        </w:rPr>
        <w:t>Model not installed</w:t>
      </w:r>
    </w:p>
    <w:p>
      <w:pPr>
        <w:pStyle w:val="ListBullet"/>
        <w:spacing w:after="60"/>
        <w:ind w:left="360"/>
      </w:pPr>
      <w:r>
        <w:t>Open the Models tab in OLSEDG Helper, select the model, and click Install Model. Installation can take several minutes depending on model size and internet speed.</w:t>
      </w:r>
    </w:p>
    <w:p>
      <w:pPr>
        <w:pStyle w:val="Heading2"/>
      </w:pPr>
      <w:r>
        <w:rPr>
          <w:color w:val="1E40AF"/>
        </w:rPr>
        <w:t>High proportion of invalid responses</w:t>
      </w:r>
    </w:p>
    <w:p>
      <w:pPr>
        <w:pStyle w:val="ListBullet"/>
        <w:spacing w:after="60"/>
        <w:ind w:left="360"/>
      </w:pPr>
      <w:r>
        <w:t>Try a lower temperature (e.g. 0.3–0.5) for more consistent formatting.</w:t>
      </w:r>
    </w:p>
    <w:p>
      <w:pPr>
        <w:pStyle w:val="ListBullet"/>
        <w:spacing w:after="60"/>
        <w:ind w:left="360"/>
      </w:pPr>
      <w:r>
        <w:t>Use a larger or instruction-tuned model (e.g. llama3.1:8b instead of llama3.2:3b).</w:t>
      </w:r>
    </w:p>
    <w:p>
      <w:pPr>
        <w:pStyle w:val="ListBullet"/>
        <w:spacing w:after="60"/>
        <w:ind w:left="360"/>
      </w:pPr>
      <w:r>
        <w:t>Simplify stimuli or question wording to reduce ambiguity.</w:t>
      </w:r>
    </w:p>
    <w:p>
      <w:pPr>
        <w:pStyle w:val="Heading2"/>
      </w:pPr>
      <w:r>
        <w:rPr>
          <w:color w:val="1E40AF"/>
        </w:rPr>
        <w:t>Generation is slow</w:t>
      </w:r>
    </w:p>
    <w:p>
      <w:pPr>
        <w:pStyle w:val="ListBullet"/>
        <w:spacing w:after="60"/>
        <w:ind w:left="360"/>
      </w:pPr>
      <w:r>
        <w:t>Speed depends on the model size and your hardware. Larger models (14b+) require more RAM and take longer per respondent.</w:t>
      </w:r>
    </w:p>
    <w:p>
      <w:pPr>
        <w:pStyle w:val="ListBullet"/>
        <w:spacing w:after="60"/>
        <w:ind w:left="360"/>
      </w:pPr>
      <w:r>
        <w:t>Cloud models (GPT-4o, Gemini, Claude) are generally faster than local models.</w:t>
      </w:r>
    </w:p>
    <w:p>
      <w:pPr>
        <w:pStyle w:val="ListBullet"/>
        <w:spacing w:after="60"/>
        <w:ind w:left="360"/>
      </w:pPr>
      <w:r>
        <w:t>After the first run, SEDG uses timing history to estimate remaining time for subsequent runs with the same model.</w:t>
      </w:r>
    </w:p>
    <w:p>
      <w:pPr>
        <w:pStyle w:val="Heading2"/>
      </w:pPr>
      <w:r>
        <w:rPr>
          <w:color w:val="1E40AF"/>
        </w:rPr>
        <w:t>Output file not appearing in Downloads</w:t>
      </w:r>
    </w:p>
    <w:p>
      <w:pPr>
        <w:pStyle w:val="ListBullet"/>
        <w:spacing w:after="60"/>
        <w:ind w:left="360"/>
      </w:pPr>
      <w:r>
        <w:t>Check your macOS Downloads folder (~/Downloads).</w:t>
      </w:r>
    </w:p>
    <w:p>
      <w:pPr>
        <w:pStyle w:val="ListBullet"/>
        <w:spacing w:after="60"/>
        <w:ind w:left="360"/>
      </w:pPr>
      <w:r>
        <w:t>If the browser download did not trigger, the file is still saved in ~/Downloads directly by OLSEDG Helper.</w:t>
      </w:r>
    </w:p>
    <w:p>
      <w:pPr>
        <w:pStyle w:val="Heading1"/>
      </w:pPr>
      <w:r>
        <w:rPr>
          <w:color w:val="1E40AF"/>
        </w:rPr>
        <w:t>8. Citation</w:t>
      </w:r>
    </w:p>
    <w:p>
      <w:pPr>
        <w:spacing w:after="120"/>
      </w:pPr>
      <w:r>
        <w:t>If you use SEDG in your research, please cite the tool and the underlying persona dataset:</w:t>
      </w:r>
    </w:p>
    <w:p>
      <w:pPr>
        <w:pStyle w:val="ListBullet"/>
        <w:spacing w:after="60"/>
        <w:ind w:left="360"/>
      </w:pPr>
      <w:r>
        <w:t>SEDG: Siva Shanmugam Mariappan &amp; Ashwin Malshe (2026). SEDG – Synthetic Experimental Data Generator. synthstudy.vercel.app</w:t>
      </w:r>
    </w:p>
    <w:p>
      <w:pPr>
        <w:pStyle w:val="ListBullet"/>
        <w:spacing w:after="60"/>
        <w:ind w:left="360"/>
      </w:pPr>
      <w:r>
        <w:t>Persona dataset: Toubia, O., et al. (2024). Twin-2K-500. Hugging Face. https://huggingface.co/datasets/LLM-Digital-Twin/Twin-2K-500</w:t>
      </w:r>
    </w:p>
    <w:p/>
    <w:p>
      <w:pPr>
        <w:jc w:val="center"/>
      </w:pPr>
      <w:r>
        <w:rPr>
          <w:color w:val="64748B"/>
          <w:sz w:val="18"/>
        </w:rPr>
        <w:t>© 2026 Siva Shanmugam Mariappan and Ashwin Malshe. 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