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540DB47" w14:textId="77777777" w:rsidR="00B26460" w:rsidRDefault="008D2B5A">
      <w:pPr>
        <w:spacing w:after="0"/>
        <w:ind w:left="-734" w:right="-859"/>
      </w:pPr>
      <w:r>
        <w:rPr>
          <w:noProof/>
        </w:rPr>
        <mc:AlternateContent>
          <mc:Choice Requires="wpg">
            <w:drawing>
              <wp:inline distT="0" distB="0" distL="0" distR="0" wp14:anchorId="20A6DE40" wp14:editId="3CA910CC">
                <wp:extent cx="6748704" cy="741045"/>
                <wp:effectExtent l="0" t="0" r="0" b="0"/>
                <wp:docPr id="4383" name="Group 438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748704" cy="741045"/>
                          <a:chOff x="0" y="0"/>
                          <a:chExt cx="6748704" cy="741045"/>
                        </a:xfrm>
                      </wpg:grpSpPr>
                      <pic:pic xmlns:pic="http://schemas.openxmlformats.org/drawingml/2006/picture">
                        <pic:nvPicPr>
                          <pic:cNvPr id="10" name="Picture 10"/>
                          <pic:cNvPicPr/>
                        </pic:nvPicPr>
                        <pic:blipFill>
                          <a:blip r:embed="rId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4289" cy="74104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12" name="Picture 12"/>
                          <pic:cNvPicPr/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5676265" y="249555"/>
                            <a:ext cx="1072438" cy="290830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inline>
            </w:drawing>
          </mc:Choice>
          <mc:Fallback xmlns:a="http://schemas.openxmlformats.org/drawingml/2006/main">
            <w:pict>
              <v:group id="Group 4383" style="width:531.394pt;height:58.35pt;mso-position-horizontal-relative:char;mso-position-vertical-relative:line" coordsize="67487,7410">
                <v:shape id="Picture 10" style="position:absolute;width:18042;height:7410;left:0;top:0;" filled="f">
                  <v:imagedata r:id="rId6"/>
                </v:shape>
                <v:shape id="Picture 12" style="position:absolute;width:10724;height:2908;left:56762;top:2495;" filled="f">
                  <v:imagedata r:id="rId7"/>
                </v:shape>
              </v:group>
            </w:pict>
          </mc:Fallback>
        </mc:AlternateContent>
      </w:r>
    </w:p>
    <w:p w14:paraId="1428FC13" w14:textId="77777777" w:rsidR="00B26460" w:rsidRDefault="008D2B5A">
      <w:pPr>
        <w:spacing w:after="31"/>
        <w:ind w:left="2287"/>
      </w:pPr>
      <w:r>
        <w:t xml:space="preserve"> </w:t>
      </w:r>
    </w:p>
    <w:p w14:paraId="035B311C" w14:textId="77777777" w:rsidR="00B26460" w:rsidRDefault="008D2B5A">
      <w:pPr>
        <w:spacing w:after="19"/>
        <w:ind w:left="2287"/>
      </w:pPr>
      <w:r>
        <w:rPr>
          <w:rFonts w:ascii="Times New Roman" w:eastAsia="Times New Roman" w:hAnsi="Times New Roman" w:cs="Times New Roman"/>
          <w:b/>
          <w:sz w:val="28"/>
        </w:rPr>
        <w:t xml:space="preserve"> </w:t>
      </w:r>
    </w:p>
    <w:p w14:paraId="5C77A83B" w14:textId="77777777" w:rsidR="00B26460" w:rsidRDefault="008D2B5A">
      <w:pPr>
        <w:spacing w:after="0"/>
        <w:ind w:left="326"/>
        <w:jc w:val="center"/>
      </w:pPr>
      <w:r>
        <w:rPr>
          <w:rFonts w:ascii="Times New Roman" w:eastAsia="Times New Roman" w:hAnsi="Times New Roman" w:cs="Times New Roman"/>
          <w:b/>
          <w:sz w:val="28"/>
        </w:rPr>
        <w:t>Model Development Phase Template</w:t>
      </w:r>
      <w:r>
        <w:rPr>
          <w:rFonts w:ascii="Times New Roman" w:eastAsia="Times New Roman" w:hAnsi="Times New Roman" w:cs="Times New Roman"/>
        </w:rPr>
        <w:t xml:space="preserve"> </w:t>
      </w:r>
    </w:p>
    <w:p w14:paraId="757DCDF3" w14:textId="77777777" w:rsidR="00B26460" w:rsidRDefault="008D2B5A">
      <w:pPr>
        <w:spacing w:after="0"/>
      </w:pPr>
      <w:r>
        <w:rPr>
          <w:rFonts w:ascii="Times New Roman" w:eastAsia="Times New Roman" w:hAnsi="Times New Roman" w:cs="Times New Roman"/>
        </w:rPr>
        <w:t xml:space="preserve"> </w:t>
      </w:r>
    </w:p>
    <w:tbl>
      <w:tblPr>
        <w:tblStyle w:val="TableGrid"/>
        <w:tblW w:w="9362" w:type="dxa"/>
        <w:tblInd w:w="10" w:type="dxa"/>
        <w:tblCellMar>
          <w:top w:w="120" w:type="dxa"/>
          <w:left w:w="101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4681"/>
        <w:gridCol w:w="4681"/>
      </w:tblGrid>
      <w:tr w:rsidR="00B26460" w14:paraId="655EC1BF" w14:textId="77777777">
        <w:trPr>
          <w:trHeight w:val="538"/>
        </w:trPr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7652E068" w14:textId="77777777" w:rsidR="00B26460" w:rsidRDefault="008D2B5A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Date </w:t>
            </w:r>
          </w:p>
        </w:tc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6477DCCE" w14:textId="77777777" w:rsidR="00B26460" w:rsidRDefault="008D2B5A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15 March 2024 </w:t>
            </w:r>
          </w:p>
        </w:tc>
      </w:tr>
      <w:tr w:rsidR="00B26460" w14:paraId="17EE29BB" w14:textId="77777777">
        <w:trPr>
          <w:trHeight w:val="538"/>
        </w:trPr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7F3BA056" w14:textId="77777777" w:rsidR="00B26460" w:rsidRDefault="008D2B5A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Team ID </w:t>
            </w:r>
          </w:p>
        </w:tc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2D830F49" w14:textId="77777777" w:rsidR="00B26460" w:rsidRDefault="008D2B5A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LTVIP2024TMID24785 </w:t>
            </w:r>
          </w:p>
        </w:tc>
      </w:tr>
      <w:tr w:rsidR="00B26460" w14:paraId="707E3945" w14:textId="77777777">
        <w:trPr>
          <w:trHeight w:val="854"/>
        </w:trPr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26C3A5FB" w14:textId="77777777" w:rsidR="00B26460" w:rsidRDefault="008D2B5A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Project Title </w:t>
            </w:r>
          </w:p>
        </w:tc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3AC346C1" w14:textId="77777777" w:rsidR="00B26460" w:rsidRDefault="008D2B5A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Customer Segmentation Using Machine Learning  </w:t>
            </w:r>
          </w:p>
        </w:tc>
      </w:tr>
      <w:tr w:rsidR="00B26460" w14:paraId="4D83FDA2" w14:textId="77777777">
        <w:trPr>
          <w:trHeight w:val="538"/>
        </w:trPr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35680022" w14:textId="77777777" w:rsidR="00B26460" w:rsidRDefault="008D2B5A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Maximum Marks </w:t>
            </w:r>
          </w:p>
        </w:tc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71D9D9C3" w14:textId="77777777" w:rsidR="00B26460" w:rsidRDefault="008D2B5A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5 Marks </w:t>
            </w:r>
          </w:p>
        </w:tc>
      </w:tr>
    </w:tbl>
    <w:p w14:paraId="5BA609FD" w14:textId="77777777" w:rsidR="00B26460" w:rsidRDefault="008D2B5A">
      <w:pPr>
        <w:spacing w:after="177"/>
      </w:pPr>
      <w:r>
        <w:rPr>
          <w:rFonts w:ascii="Times New Roman" w:eastAsia="Times New Roman" w:hAnsi="Times New Roman" w:cs="Times New Roman"/>
          <w:sz w:val="24"/>
        </w:rPr>
        <w:t xml:space="preserve"> </w:t>
      </w:r>
    </w:p>
    <w:p w14:paraId="0BDA1C75" w14:textId="77777777" w:rsidR="00B26460" w:rsidRDefault="008D2B5A">
      <w:pPr>
        <w:spacing w:after="177"/>
      </w:pPr>
      <w:r>
        <w:rPr>
          <w:rFonts w:ascii="Times New Roman" w:eastAsia="Times New Roman" w:hAnsi="Times New Roman" w:cs="Times New Roman"/>
          <w:b/>
          <w:sz w:val="24"/>
        </w:rPr>
        <w:t xml:space="preserve">Feature Selection Report Template </w:t>
      </w:r>
    </w:p>
    <w:p w14:paraId="49827D69" w14:textId="77777777" w:rsidR="00B26460" w:rsidRDefault="008D2B5A">
      <w:pPr>
        <w:spacing w:line="274" w:lineRule="auto"/>
      </w:pPr>
      <w:r>
        <w:rPr>
          <w:rFonts w:ascii="Times New Roman" w:eastAsia="Times New Roman" w:hAnsi="Times New Roman" w:cs="Times New Roman"/>
          <w:sz w:val="24"/>
        </w:rPr>
        <w:t xml:space="preserve">In the forthcoming update, each feature will be accompanied by a brief description. Users will indicate whether it's selected or not, providing reasoning for their decision. This process will streamline decision-making and enhance transparency in feature selection. </w:t>
      </w:r>
    </w:p>
    <w:p w14:paraId="2E11F4DF" w14:textId="77777777" w:rsidR="00B26460" w:rsidRDefault="008D2B5A">
      <w:pPr>
        <w:spacing w:after="0"/>
      </w:pPr>
      <w:r>
        <w:rPr>
          <w:rFonts w:ascii="Times New Roman" w:eastAsia="Times New Roman" w:hAnsi="Times New Roman" w:cs="Times New Roman"/>
          <w:b/>
          <w:sz w:val="24"/>
        </w:rPr>
        <w:t xml:space="preserve"> </w:t>
      </w:r>
    </w:p>
    <w:tbl>
      <w:tblPr>
        <w:tblStyle w:val="TableGrid"/>
        <w:tblW w:w="10122" w:type="dxa"/>
        <w:tblInd w:w="5" w:type="dxa"/>
        <w:tblCellMar>
          <w:top w:w="76" w:type="dxa"/>
          <w:left w:w="98" w:type="dxa"/>
          <w:bottom w:w="308" w:type="dxa"/>
          <w:right w:w="115" w:type="dxa"/>
        </w:tblCellMar>
        <w:tblLook w:val="04A0" w:firstRow="1" w:lastRow="0" w:firstColumn="1" w:lastColumn="0" w:noHBand="0" w:noVBand="1"/>
      </w:tblPr>
      <w:tblGrid>
        <w:gridCol w:w="1682"/>
        <w:gridCol w:w="2144"/>
        <w:gridCol w:w="1853"/>
        <w:gridCol w:w="4443"/>
      </w:tblGrid>
      <w:tr w:rsidR="00B26460" w14:paraId="5C13443A" w14:textId="77777777">
        <w:trPr>
          <w:trHeight w:val="1520"/>
        </w:trPr>
        <w:tc>
          <w:tcPr>
            <w:tcW w:w="1682" w:type="dxa"/>
            <w:tcBorders>
              <w:top w:val="single" w:sz="4" w:space="0" w:color="000000"/>
              <w:left w:val="single" w:sz="4" w:space="0" w:color="000000"/>
              <w:bottom w:val="single" w:sz="40" w:space="0" w:color="FFFFFF"/>
              <w:right w:val="single" w:sz="4" w:space="0" w:color="000000"/>
            </w:tcBorders>
            <w:vAlign w:val="bottom"/>
          </w:tcPr>
          <w:p w14:paraId="01EBCCAF" w14:textId="77777777" w:rsidR="00B26460" w:rsidRDefault="008D2B5A">
            <w:pPr>
              <w:spacing w:after="0"/>
              <w:ind w:left="16"/>
              <w:jc w:val="center"/>
            </w:pPr>
            <w:r>
              <w:rPr>
                <w:rFonts w:ascii="Times New Roman" w:eastAsia="Times New Roman" w:hAnsi="Times New Roman" w:cs="Times New Roman"/>
                <w:b/>
                <w:color w:val="0D0D0D"/>
                <w:sz w:val="24"/>
              </w:rPr>
              <w:t xml:space="preserve">Feature </w:t>
            </w:r>
          </w:p>
        </w:tc>
        <w:tc>
          <w:tcPr>
            <w:tcW w:w="2144" w:type="dxa"/>
            <w:tcBorders>
              <w:top w:val="single" w:sz="4" w:space="0" w:color="000000"/>
              <w:left w:val="single" w:sz="4" w:space="0" w:color="000000"/>
              <w:bottom w:val="single" w:sz="40" w:space="0" w:color="FFFFFF"/>
              <w:right w:val="single" w:sz="4" w:space="0" w:color="000000"/>
            </w:tcBorders>
            <w:vAlign w:val="bottom"/>
          </w:tcPr>
          <w:p w14:paraId="4E17F57E" w14:textId="77777777" w:rsidR="00B26460" w:rsidRDefault="008D2B5A">
            <w:pPr>
              <w:spacing w:after="0"/>
              <w:ind w:left="13"/>
              <w:jc w:val="center"/>
            </w:pPr>
            <w:r>
              <w:rPr>
                <w:rFonts w:ascii="Times New Roman" w:eastAsia="Times New Roman" w:hAnsi="Times New Roman" w:cs="Times New Roman"/>
                <w:b/>
                <w:color w:val="0D0D0D"/>
                <w:sz w:val="24"/>
              </w:rPr>
              <w:t xml:space="preserve">Description </w:t>
            </w:r>
          </w:p>
        </w:tc>
        <w:tc>
          <w:tcPr>
            <w:tcW w:w="1853" w:type="dxa"/>
            <w:tcBorders>
              <w:top w:val="single" w:sz="4" w:space="0" w:color="000000"/>
              <w:left w:val="single" w:sz="4" w:space="0" w:color="000000"/>
              <w:bottom w:val="single" w:sz="40" w:space="0" w:color="FFFFFF"/>
              <w:right w:val="single" w:sz="4" w:space="0" w:color="000000"/>
            </w:tcBorders>
            <w:vAlign w:val="bottom"/>
          </w:tcPr>
          <w:p w14:paraId="0831CB28" w14:textId="77777777" w:rsidR="00B26460" w:rsidRDefault="008D2B5A">
            <w:pPr>
              <w:spacing w:after="0"/>
              <w:jc w:val="center"/>
            </w:pPr>
            <w:r>
              <w:rPr>
                <w:rFonts w:ascii="Times New Roman" w:eastAsia="Times New Roman" w:hAnsi="Times New Roman" w:cs="Times New Roman"/>
                <w:b/>
                <w:color w:val="0D0D0D"/>
                <w:sz w:val="24"/>
              </w:rPr>
              <w:t xml:space="preserve">Selected (Yes/No) </w:t>
            </w:r>
          </w:p>
        </w:tc>
        <w:tc>
          <w:tcPr>
            <w:tcW w:w="4443" w:type="dxa"/>
            <w:tcBorders>
              <w:top w:val="single" w:sz="4" w:space="0" w:color="000000"/>
              <w:left w:val="single" w:sz="4" w:space="0" w:color="000000"/>
              <w:bottom w:val="single" w:sz="40" w:space="0" w:color="FFFFFF"/>
              <w:right w:val="single" w:sz="4" w:space="0" w:color="000000"/>
            </w:tcBorders>
            <w:vAlign w:val="bottom"/>
          </w:tcPr>
          <w:p w14:paraId="794B629E" w14:textId="77777777" w:rsidR="00B26460" w:rsidRDefault="008D2B5A">
            <w:pPr>
              <w:spacing w:after="0"/>
              <w:ind w:left="16"/>
              <w:jc w:val="center"/>
            </w:pPr>
            <w:r>
              <w:rPr>
                <w:rFonts w:ascii="Times New Roman" w:eastAsia="Times New Roman" w:hAnsi="Times New Roman" w:cs="Times New Roman"/>
                <w:b/>
                <w:color w:val="0D0D0D"/>
                <w:sz w:val="24"/>
              </w:rPr>
              <w:t xml:space="preserve">Reasoning </w:t>
            </w:r>
          </w:p>
        </w:tc>
      </w:tr>
      <w:tr w:rsidR="00B26460" w14:paraId="2D0AE526" w14:textId="77777777">
        <w:trPr>
          <w:trHeight w:val="1956"/>
        </w:trPr>
        <w:tc>
          <w:tcPr>
            <w:tcW w:w="1682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6A2D5696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Age </w:t>
            </w:r>
          </w:p>
        </w:tc>
        <w:tc>
          <w:tcPr>
            <w:tcW w:w="2144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685F9972" w14:textId="77777777" w:rsidR="00B26460" w:rsidRDefault="008D2B5A">
            <w:pPr>
              <w:spacing w:after="0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The age of the individual in years </w:t>
            </w:r>
          </w:p>
        </w:tc>
        <w:tc>
          <w:tcPr>
            <w:tcW w:w="1853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368EAC44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Yes </w:t>
            </w:r>
          </w:p>
        </w:tc>
        <w:tc>
          <w:tcPr>
            <w:tcW w:w="4443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1A737E3A" w14:textId="77777777" w:rsidR="00B26460" w:rsidRDefault="008D2B5A">
            <w:pPr>
              <w:spacing w:after="16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Age Influences Purchasing Behavior, </w:t>
            </w:r>
          </w:p>
          <w:p w14:paraId="5BBE4286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Preferences, and Brand </w:t>
            </w: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Loyalty. Younger Customers may Prioritize Trends, </w:t>
            </w:r>
            <w:proofErr w:type="gramStart"/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>While</w:t>
            </w:r>
            <w:proofErr w:type="gramEnd"/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 older Customers might Value Quality and Service. </w:t>
            </w:r>
          </w:p>
        </w:tc>
      </w:tr>
      <w:tr w:rsidR="00B26460" w14:paraId="4AA135FB" w14:textId="77777777">
        <w:trPr>
          <w:trHeight w:val="1920"/>
        </w:trPr>
        <w:tc>
          <w:tcPr>
            <w:tcW w:w="1682" w:type="dxa"/>
            <w:tcBorders>
              <w:top w:val="single" w:sz="40" w:space="0" w:color="FFFFFF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605ADD0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lastRenderedPageBreak/>
              <w:t xml:space="preserve">Family Size </w:t>
            </w:r>
          </w:p>
        </w:tc>
        <w:tc>
          <w:tcPr>
            <w:tcW w:w="2144" w:type="dxa"/>
            <w:tcBorders>
              <w:top w:val="single" w:sz="40" w:space="0" w:color="FFFFFF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2E9B138" w14:textId="77777777" w:rsidR="00B26460" w:rsidRDefault="008D2B5A">
            <w:pPr>
              <w:spacing w:after="2" w:line="273" w:lineRule="auto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The Family size includes the </w:t>
            </w:r>
          </w:p>
          <w:p w14:paraId="0A409514" w14:textId="77777777" w:rsidR="00B26460" w:rsidRDefault="008D2B5A">
            <w:pPr>
              <w:spacing w:after="16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Number of People </w:t>
            </w:r>
          </w:p>
          <w:p w14:paraId="6AA3CABF" w14:textId="77777777" w:rsidR="00B26460" w:rsidRDefault="008D2B5A">
            <w:pPr>
              <w:spacing w:after="0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Living together  </w:t>
            </w:r>
          </w:p>
        </w:tc>
        <w:tc>
          <w:tcPr>
            <w:tcW w:w="1853" w:type="dxa"/>
            <w:tcBorders>
              <w:top w:val="single" w:sz="40" w:space="0" w:color="FFFFFF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8A60137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Yes </w:t>
            </w:r>
          </w:p>
        </w:tc>
        <w:tc>
          <w:tcPr>
            <w:tcW w:w="4443" w:type="dxa"/>
            <w:tcBorders>
              <w:top w:val="single" w:sz="40" w:space="0" w:color="FFFFFF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389702E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Family Size influences buying habits. Larger Families may Prioritize Bulk purchases and values, While Smaller Families </w:t>
            </w:r>
            <w:proofErr w:type="gramStart"/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>might</w:t>
            </w:r>
            <w:proofErr w:type="gramEnd"/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 Focus on </w:t>
            </w:r>
            <w:proofErr w:type="spellStart"/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>covenience</w:t>
            </w:r>
            <w:proofErr w:type="spellEnd"/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 and Premium Products. </w:t>
            </w:r>
          </w:p>
        </w:tc>
      </w:tr>
    </w:tbl>
    <w:p w14:paraId="25A0AA8A" w14:textId="77777777" w:rsidR="00B26460" w:rsidRDefault="008D2B5A">
      <w:pPr>
        <w:spacing w:after="0"/>
        <w:ind w:left="-734" w:right="-859"/>
      </w:pPr>
      <w:r>
        <w:rPr>
          <w:noProof/>
        </w:rPr>
        <mc:AlternateContent>
          <mc:Choice Requires="wpg">
            <w:drawing>
              <wp:inline distT="0" distB="0" distL="0" distR="0" wp14:anchorId="3CF629E4" wp14:editId="4AB1EA1E">
                <wp:extent cx="6748704" cy="741045"/>
                <wp:effectExtent l="0" t="0" r="0" b="0"/>
                <wp:docPr id="4386" name="Group 438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748704" cy="741045"/>
                          <a:chOff x="0" y="0"/>
                          <a:chExt cx="6748704" cy="741045"/>
                        </a:xfrm>
                      </wpg:grpSpPr>
                      <pic:pic xmlns:pic="http://schemas.openxmlformats.org/drawingml/2006/picture">
                        <pic:nvPicPr>
                          <pic:cNvPr id="273" name="Picture 273"/>
                          <pic:cNvPicPr/>
                        </pic:nvPicPr>
                        <pic:blipFill>
                          <a:blip r:embed="rId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4289" cy="74104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75" name="Picture 275"/>
                          <pic:cNvPicPr/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5676265" y="249555"/>
                            <a:ext cx="1072438" cy="290830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inline>
            </w:drawing>
          </mc:Choice>
          <mc:Fallback xmlns:a="http://schemas.openxmlformats.org/drawingml/2006/main">
            <w:pict>
              <v:group id="Group 4386" style="width:531.394pt;height:58.35pt;mso-position-horizontal-relative:char;mso-position-vertical-relative:line" coordsize="67487,7410">
                <v:shape id="Picture 273" style="position:absolute;width:18042;height:7410;left:0;top:0;" filled="f">
                  <v:imagedata r:id="rId6"/>
                </v:shape>
                <v:shape id="Picture 275" style="position:absolute;width:10724;height:2908;left:56762;top:2495;" filled="f">
                  <v:imagedata r:id="rId7"/>
                </v:shape>
              </v:group>
            </w:pict>
          </mc:Fallback>
        </mc:AlternateContent>
      </w:r>
    </w:p>
    <w:p w14:paraId="1FBB2722" w14:textId="77777777" w:rsidR="00B26460" w:rsidRDefault="008D2B5A">
      <w:pPr>
        <w:spacing w:after="0"/>
        <w:ind w:right="6698"/>
        <w:jc w:val="right"/>
      </w:pPr>
      <w:r>
        <w:t xml:space="preserve"> </w:t>
      </w:r>
    </w:p>
    <w:tbl>
      <w:tblPr>
        <w:tblStyle w:val="TableGrid"/>
        <w:tblW w:w="10122" w:type="dxa"/>
        <w:tblInd w:w="5" w:type="dxa"/>
        <w:tblCellMar>
          <w:top w:w="76" w:type="dxa"/>
          <w:left w:w="98" w:type="dxa"/>
          <w:bottom w:w="0" w:type="dxa"/>
          <w:right w:w="46" w:type="dxa"/>
        </w:tblCellMar>
        <w:tblLook w:val="04A0" w:firstRow="1" w:lastRow="0" w:firstColumn="1" w:lastColumn="0" w:noHBand="0" w:noVBand="1"/>
      </w:tblPr>
      <w:tblGrid>
        <w:gridCol w:w="1682"/>
        <w:gridCol w:w="2144"/>
        <w:gridCol w:w="1853"/>
        <w:gridCol w:w="4443"/>
      </w:tblGrid>
      <w:tr w:rsidR="00B26460" w14:paraId="683FE121" w14:textId="77777777">
        <w:trPr>
          <w:trHeight w:val="1639"/>
        </w:trPr>
        <w:tc>
          <w:tcPr>
            <w:tcW w:w="1682" w:type="dxa"/>
            <w:tcBorders>
              <w:top w:val="single" w:sz="4" w:space="0" w:color="000000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69D90343" w14:textId="77777777" w:rsidR="00B26460" w:rsidRDefault="008D2B5A">
            <w:pPr>
              <w:spacing w:after="16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Work </w:t>
            </w:r>
          </w:p>
          <w:p w14:paraId="455F1F38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Experience </w:t>
            </w:r>
          </w:p>
        </w:tc>
        <w:tc>
          <w:tcPr>
            <w:tcW w:w="2144" w:type="dxa"/>
            <w:tcBorders>
              <w:top w:val="single" w:sz="4" w:space="0" w:color="000000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6D3D872D" w14:textId="77777777" w:rsidR="00B26460" w:rsidRDefault="008D2B5A">
            <w:pPr>
              <w:spacing w:after="16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It provides valuable </w:t>
            </w:r>
          </w:p>
          <w:p w14:paraId="6C77AF66" w14:textId="77777777" w:rsidR="00B26460" w:rsidRDefault="008D2B5A">
            <w:pPr>
              <w:spacing w:after="16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Insights of </w:t>
            </w:r>
          </w:p>
          <w:p w14:paraId="4690C52E" w14:textId="77777777" w:rsidR="00B26460" w:rsidRDefault="008D2B5A">
            <w:pPr>
              <w:spacing w:after="16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Different Customer </w:t>
            </w:r>
          </w:p>
          <w:p w14:paraId="3AE9498E" w14:textId="77777777" w:rsidR="00B26460" w:rsidRDefault="008D2B5A">
            <w:pPr>
              <w:spacing w:after="0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Groups </w:t>
            </w:r>
          </w:p>
        </w:tc>
        <w:tc>
          <w:tcPr>
            <w:tcW w:w="1853" w:type="dxa"/>
            <w:tcBorders>
              <w:top w:val="single" w:sz="4" w:space="0" w:color="000000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22B7B03E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Yes </w:t>
            </w:r>
          </w:p>
        </w:tc>
        <w:tc>
          <w:tcPr>
            <w:tcW w:w="4443" w:type="dxa"/>
            <w:tcBorders>
              <w:top w:val="single" w:sz="4" w:space="0" w:color="000000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7BF10453" w14:textId="77777777" w:rsidR="00B26460" w:rsidRDefault="008D2B5A">
            <w:pPr>
              <w:spacing w:after="0"/>
              <w:ind w:left="2" w:right="1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Work Experience often correlates with income, </w:t>
            </w:r>
            <w:proofErr w:type="gramStart"/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>influencing  purchasing</w:t>
            </w:r>
            <w:proofErr w:type="gramEnd"/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 power. This helps Businesses Tailor Products and Pricing Strategies to different segments. </w:t>
            </w:r>
          </w:p>
        </w:tc>
      </w:tr>
      <w:tr w:rsidR="00B26460" w14:paraId="5071A7ED" w14:textId="77777777">
        <w:trPr>
          <w:trHeight w:val="1796"/>
        </w:trPr>
        <w:tc>
          <w:tcPr>
            <w:tcW w:w="1682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75ACAE4A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Profession </w:t>
            </w:r>
          </w:p>
        </w:tc>
        <w:tc>
          <w:tcPr>
            <w:tcW w:w="2144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7CA73E05" w14:textId="77777777" w:rsidR="00B26460" w:rsidRDefault="008D2B5A">
            <w:pPr>
              <w:spacing w:after="0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It is essential for understanding consumer Behavior </w:t>
            </w:r>
          </w:p>
        </w:tc>
        <w:tc>
          <w:tcPr>
            <w:tcW w:w="1853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370350CF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Yes </w:t>
            </w:r>
          </w:p>
        </w:tc>
        <w:tc>
          <w:tcPr>
            <w:tcW w:w="4443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153FECF1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Different Professions have Unique needs and Preferences. Tailoring marketing messages to specific Industries (e.g., healthcare, tech, education) can increase relevance and engagement. </w:t>
            </w:r>
          </w:p>
        </w:tc>
      </w:tr>
      <w:tr w:rsidR="00B26460" w14:paraId="63367BE5" w14:textId="77777777">
        <w:trPr>
          <w:trHeight w:val="1798"/>
        </w:trPr>
        <w:tc>
          <w:tcPr>
            <w:tcW w:w="1682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334408CA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Gender </w:t>
            </w:r>
          </w:p>
        </w:tc>
        <w:tc>
          <w:tcPr>
            <w:tcW w:w="2144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5411F11E" w14:textId="77777777" w:rsidR="00B26460" w:rsidRDefault="008D2B5A">
            <w:pPr>
              <w:spacing w:after="0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It enhances marketing strategies </w:t>
            </w:r>
          </w:p>
        </w:tc>
        <w:tc>
          <w:tcPr>
            <w:tcW w:w="1853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4F5BED88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Yes </w:t>
            </w:r>
          </w:p>
        </w:tc>
        <w:tc>
          <w:tcPr>
            <w:tcW w:w="4443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14B447E3" w14:textId="77777777" w:rsidR="00B26460" w:rsidRDefault="008D2B5A">
            <w:pPr>
              <w:spacing w:after="0"/>
              <w:ind w:left="2" w:right="28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Gender insights can inform product design and features, ensuring offerings meet the preferences of different gender (e.g., cosmetics, clothing, personal care products). </w:t>
            </w:r>
          </w:p>
        </w:tc>
      </w:tr>
      <w:tr w:rsidR="00B26460" w14:paraId="5A3D98E9" w14:textId="77777777">
        <w:trPr>
          <w:trHeight w:val="1640"/>
        </w:trPr>
        <w:tc>
          <w:tcPr>
            <w:tcW w:w="1682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3C3BF561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Married </w:t>
            </w:r>
          </w:p>
        </w:tc>
        <w:tc>
          <w:tcPr>
            <w:tcW w:w="2144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6341675F" w14:textId="77777777" w:rsidR="00B26460" w:rsidRDefault="008D2B5A">
            <w:pPr>
              <w:spacing w:after="0"/>
              <w:ind w:right="39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It provides valuable insights for </w:t>
            </w: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tailoring marketing strategies </w:t>
            </w:r>
          </w:p>
        </w:tc>
        <w:tc>
          <w:tcPr>
            <w:tcW w:w="1853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5F279F3F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No </w:t>
            </w:r>
          </w:p>
        </w:tc>
        <w:tc>
          <w:tcPr>
            <w:tcW w:w="4443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0E1517C5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Married individuals may have different needs compared to singles, such as home goods, family planning products, or joint Financial Services. </w:t>
            </w:r>
          </w:p>
        </w:tc>
      </w:tr>
      <w:tr w:rsidR="00B26460" w14:paraId="6D87141B" w14:textId="77777777">
        <w:trPr>
          <w:trHeight w:val="1519"/>
        </w:trPr>
        <w:tc>
          <w:tcPr>
            <w:tcW w:w="1682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08201344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lastRenderedPageBreak/>
              <w:t xml:space="preserve">Graduated </w:t>
            </w:r>
          </w:p>
        </w:tc>
        <w:tc>
          <w:tcPr>
            <w:tcW w:w="2144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518FCB67" w14:textId="77777777" w:rsidR="00B26460" w:rsidRDefault="008D2B5A">
            <w:pPr>
              <w:spacing w:after="0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It has two Category graduated and not graduated  </w:t>
            </w:r>
          </w:p>
        </w:tc>
        <w:tc>
          <w:tcPr>
            <w:tcW w:w="1853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147B14FF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Yes </w:t>
            </w:r>
          </w:p>
        </w:tc>
        <w:tc>
          <w:tcPr>
            <w:tcW w:w="4443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50E147AA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Analyzing customer interactions, purchase history, and Engagement levels to identify patterns and preferences. </w:t>
            </w:r>
          </w:p>
        </w:tc>
      </w:tr>
      <w:tr w:rsidR="00B26460" w14:paraId="39933E81" w14:textId="77777777">
        <w:trPr>
          <w:trHeight w:val="1918"/>
        </w:trPr>
        <w:tc>
          <w:tcPr>
            <w:tcW w:w="1682" w:type="dxa"/>
            <w:tcBorders>
              <w:top w:val="single" w:sz="40" w:space="0" w:color="FFFFFF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21B375B" w14:textId="77777777" w:rsidR="00B26460" w:rsidRDefault="008D2B5A">
            <w:pPr>
              <w:spacing w:after="0"/>
              <w:ind w:left="2" w:right="23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Spending Score </w:t>
            </w:r>
          </w:p>
        </w:tc>
        <w:tc>
          <w:tcPr>
            <w:tcW w:w="2144" w:type="dxa"/>
            <w:tcBorders>
              <w:top w:val="single" w:sz="40" w:space="0" w:color="FFFFFF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9279F76" w14:textId="77777777" w:rsidR="00B26460" w:rsidRDefault="008D2B5A">
            <w:pPr>
              <w:spacing w:after="0" w:line="273" w:lineRule="auto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It quantifies customers spend </w:t>
            </w:r>
          </w:p>
          <w:p w14:paraId="201D4005" w14:textId="77777777" w:rsidR="00B26460" w:rsidRDefault="008D2B5A">
            <w:pPr>
              <w:spacing w:after="0"/>
              <w:ind w:right="50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and their purchasing behavior </w:t>
            </w:r>
          </w:p>
        </w:tc>
        <w:tc>
          <w:tcPr>
            <w:tcW w:w="1853" w:type="dxa"/>
            <w:tcBorders>
              <w:top w:val="single" w:sz="40" w:space="0" w:color="FFFFFF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D2DC49A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Yes </w:t>
            </w:r>
          </w:p>
        </w:tc>
        <w:tc>
          <w:tcPr>
            <w:tcW w:w="4443" w:type="dxa"/>
            <w:tcBorders>
              <w:top w:val="single" w:sz="40" w:space="0" w:color="FFFFFF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FDC180A" w14:textId="77777777" w:rsidR="00B26460" w:rsidRDefault="008D2B5A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The spending sore typically ranges from 0 to 100 and reflects a customer’s spending habits over a specific period. Higher scores indicate higher spending levels. </w:t>
            </w:r>
          </w:p>
        </w:tc>
      </w:tr>
    </w:tbl>
    <w:p w14:paraId="60D1B2E7" w14:textId="77777777" w:rsidR="00B26460" w:rsidRDefault="008D2B5A">
      <w:pPr>
        <w:spacing w:after="177"/>
      </w:pPr>
      <w:r>
        <w:rPr>
          <w:rFonts w:ascii="Times New Roman" w:eastAsia="Times New Roman" w:hAnsi="Times New Roman" w:cs="Times New Roman"/>
          <w:b/>
          <w:sz w:val="24"/>
        </w:rPr>
        <w:t xml:space="preserve"> </w:t>
      </w:r>
    </w:p>
    <w:p w14:paraId="67C9322A" w14:textId="77777777" w:rsidR="00B26460" w:rsidRDefault="008D2B5A">
      <w:r>
        <w:rPr>
          <w:rFonts w:ascii="Times New Roman" w:eastAsia="Times New Roman" w:hAnsi="Times New Roman" w:cs="Times New Roman"/>
          <w:b/>
          <w:sz w:val="24"/>
        </w:rPr>
        <w:t xml:space="preserve"> </w:t>
      </w:r>
    </w:p>
    <w:p w14:paraId="2C9664D4" w14:textId="77777777" w:rsidR="00B26460" w:rsidRDefault="008D2B5A">
      <w:pPr>
        <w:spacing w:after="0"/>
      </w:pPr>
      <w:r>
        <w:rPr>
          <w:rFonts w:ascii="Times New Roman" w:eastAsia="Times New Roman" w:hAnsi="Times New Roman" w:cs="Times New Roman"/>
          <w:b/>
        </w:rPr>
        <w:t xml:space="preserve"> </w:t>
      </w:r>
    </w:p>
    <w:sectPr w:rsidR="00B26460">
      <w:pgSz w:w="12240" w:h="15840"/>
      <w:pgMar w:top="193" w:right="1765" w:bottom="2652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6460"/>
    <w:rsid w:val="002C6C85"/>
    <w:rsid w:val="006A2431"/>
    <w:rsid w:val="00713CD4"/>
    <w:rsid w:val="008D2B5A"/>
    <w:rsid w:val="00B264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9EF452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10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0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pro%201</Template>
  <TotalTime>1</TotalTime>
  <Pages>3</Pages>
  <Words>356</Words>
  <Characters>2032</Characters>
  <Application>Microsoft Office Word</Application>
  <DocSecurity>0</DocSecurity>
  <Lines>16</Lines>
  <Paragraphs>4</Paragraphs>
  <ScaleCrop>false</ScaleCrop>
  <Company/>
  <LinksUpToDate>false</LinksUpToDate>
  <CharactersWithSpaces>2384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CHETHALA KATAM RAJU</dc:creator>
  <cp:keywords/>
  <cp:lastModifiedBy>durga prasad</cp:lastModifiedBy>
  <cp:revision>2</cp:revision>
  <dcterms:created xsi:type="dcterms:W3CDTF">2024-10-24T10:54:00Z</dcterms:created>
  <dcterms:modified xsi:type="dcterms:W3CDTF">2024-10-24T10:54:00Z</dcterms:modified>
</cp:coreProperties>
</file>