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Business Logic Documentation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HLMS – Home Loan Management System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1. AppUserServiceImpl.java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register()</w:t>
      </w:r>
      <w:r>
        <w:t xml:space="preserve"> – Validates email, name, mobile, ID document (PAN/Aadhaar) format, and password strength; rejects duplicate emails; defaults role to "customer"; hashes the password before persisting.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login()</w:t>
      </w:r>
      <w:r>
        <w:t xml:space="preserve"> – Verifies credentials against the salted password hash and confirms the account is active before returning user details.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verifyOtp()</w:t>
      </w:r>
      <w:r>
        <w:t xml:space="preserve"> – Validates and compares a submitted OTP against the expected OTP.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changePassword()</w:t>
      </w:r>
      <w:r>
        <w:t xml:space="preserve"> – Confirms the old password matches before hashing and saving the new one.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resetPassword()</w:t>
      </w:r>
      <w:r>
        <w:t xml:space="preserve"> – Validates password strength and resets the password hash for a given account.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assignRole()</w:t>
      </w:r>
      <w:r>
        <w:t xml:space="preserve"> – Validates the role against the allowed role list and updates the user's role.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Updates profile fields only (name, mobile, notification preferences, active flag); deliberately excludes password, role, and ID fields, which are only editable via dedicated operations.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 with email-based validation.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AppUserDTO and AppUser.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validation errors for invalid email/mobile/ID formats, weak passwords, duplicate accounts, and non-existent users.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2. ApplicationDocumentServiceImpl.java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doc type, file name, and file size (max 10MB); auto-generates a DOC- prefixed ID; sets upload timestamp and defaults verification status to "PENDING".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Requires verifiedByEmail whenever status is set to VERIFIED or REJECTED; auto-stamps verifiedAt the first time a verifier is assigned.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ApplicationDocumentDTO and ApplicationDocument, including nested references to LoanApplication and AppUser (verifier).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oversized files, invalid doc types, and missing verifier email during status changes.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3. AuctionCaseServiceImpl.java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Ensures one auction case per application (no duplicates); validates chronological order across noticeDate → noticeDueDate → possessionDate → auctionDate; validates demand amount and reserve price are positive; defaults stage to "Notice Issued".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chronological/stage rules before updating.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Stage Validation Logic</w:t>
      </w:r>
      <w:r>
        <w:t xml:space="preserve"> – Enforces a fixed workflow vocabulary: None, Notice Issued, Possession, Auction Scheduled, Resolved.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AuctionCaseDTO and AuctionCase.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out-of-order dates, invalid stages, and duplicate cases.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4. AuctionNoteServiceImpl.java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 and note text (max 4000 chars); auto-generates an ANT- prefixed note ID; defaults note timestamp to now.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content before saving.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AuctionNoteDTO and AuctionNote, linking to the parent AuctionCase.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missing appId/text and non-existent notes.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5. AuditLogServiceImpl.java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entityType, entityId, action (CREATE/UPDATE/DELETE/APPROVE/REJECT/LOGIN/LOGOUT), and actor email; stamps creation time.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Intentionally unsupported; always throws an exception, since audit logs are append-only/immutable.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Immutability Logic</w:t>
      </w:r>
      <w:r>
        <w:t xml:space="preserve"> – Enforces that audit trail entries can never be modified once recorded.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AuditLogDTO and AuditLog.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actions and blocks all update attempts.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6. BankOfficeDecisionServiceImpl.java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Ensures one decision per application; validates decision value (APPROVED/CONDITIONALLY_APPROVED/REJECTED) and officer email; requires a reason whenever the decision isn't a plain APPROVED; defaults decision date to now.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and re-stamps decision date if absent.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Mandatory Reason Logic</w:t>
      </w:r>
      <w:r>
        <w:t xml:space="preserve"> – Rejections/conditional approvals must always be explained.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BankOfficeDecisionDTO and BankOfficeDecision.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missing reasons, invalid decisions, and duplicate records.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7. BidServiceImpl.java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appId, bidder email, and positive bid amount; confirms an auction case exists; requires the bid to be at least the reserve price and strictly higher than the current highest bid for that auction; auto-generates a BID- prefixed ID; stamps creation time.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rules.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Highest Bid Calculation (highestBid())</w:t>
      </w:r>
      <w:r>
        <w:t xml:space="preserve"> – Scans all bids for an auction case to determine the current leading bid.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BidDTO and Bid, linking to AuctionCase and AppUser (bidder).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when bids are below reserve price, don't beat the current highest bid, or reference a non-existent auction case.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8. CustomerEmploymentProfileServiceImpl.java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employment type, employer, monthly income, other EMIs, desired amount, and PAN; ensures one profile per user; ensures existing EMIs don't equal/exceed monthly income.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before updating.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calculateDti()</w:t>
      </w:r>
      <w:r>
        <w:t xml:space="preserve"> – Computes Debt-to-Income ratio = (existing EMIs + proposed EMI) / monthly income.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calculateMortgageFreeMaxLoan()</w:t>
      </w:r>
      <w:r>
        <w:t xml:space="preserve"> – Computes maximum unsecured loan eligibility as 60× the customer's free monthly surplus (income minus existing EMIs).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assessEligibility()</w:t>
      </w:r>
      <w:r>
        <w:t xml:space="preserve"> – Classifies a customer as ELIGIBLE (DTI ≤ 50%), CONDITIONALLY_ELIGIBLE (DTI ≤ 65%), or NOT_ELIGIBLE based on computed DTI.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CustomerEmploymentProfileDTO and CustomerEmploymentProfile.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income/EMI combinations, invalid PAN, and duplicate profiles.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9. DisbursementServiceImpl.java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Ensures a loan is disbursed only once (appId as unique key); validates positive amount, reference number, mode (NEFT/RTGS/CHEQUE/UPI), and bank details; rejects future-dated disbursement dates; defaults disbursed date to now.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rules.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Date Validation Logic</w:t>
      </w:r>
      <w:r>
        <w:t xml:space="preserve"> – Disbursed date can never be in the future.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DisbursementDTO and Disbursement.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duplicate disbursements, invalid modes, and future-dated entries.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10. EmiInstallmentServiceImpl.java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appId, installment number, due date, EMI amount, principal/interest components (non-negative), and closing balance (never negative); ensures principal + interest equals EMI amount within rounding tolerance; requires paidDate when status is PAID; auto-generates an EMI- prefixed ID; derives status automatically.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and re-derives status.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Status Derivation Logic (deriveStatus())</w:t>
      </w:r>
      <w:r>
        <w:t xml:space="preserve"> – Automatically computes PAID / OVERDUE / PENDING based on paid date and due date rather than trusting caller input.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EmiInstallmentDTO and EmiInstallment.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mismatched EMI components and invalid statuses.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11. InsurancePolicyServiceImpl.java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appId, policy type (property/life), status, and validTill date; defaults status to "Active"; auto-generates a POL- prefixed ID.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Re-validates; blocks an ACTIVE policy from having a past validTill date.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Status/Expiry Consistency Logic</w:t>
      </w:r>
      <w:r>
        <w:t xml:space="preserve"> – Ensures active policies aren't already expired.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InsurancePolicyDTO and InsurancePolicy.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types/statuses and inconsistent active/expiry combinations.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12. LegalChecklistItemServiceImpl.java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 and checklist key; defaults status to "PENDING"; auto-generates a CHK- prefixed ID.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status (PENDING/COMPLETED/NOT_APPLICABLE).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LegalChecklistItemDTO and LegalChecklistItem.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missing checklist keys and invalid statuses.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13. LegalNoticeServiceImpl.java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appId, notice type, issue date, due date (must be after issue date), officer email, and content; auto-generates a unique notice number (NOTICE-&lt;date&gt;-&lt;id suffix&gt;) and a NOT- prefixed ID; defaults status to "DRAFT".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Re-validates; preserves existing notice number if not resupplied.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Notice Number Generation Logic</w:t>
      </w:r>
      <w:r>
        <w:t xml:space="preserve"> – Auto-creates a trackable, unique notice number.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LegalNoticeDTO and LegalNotice.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types/statuses and out-of-order dates.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14. LegalVerificationServiceImpl.java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Ensures one verification per application; validates decision (PENDING/APPROVED/REJECTED) and officer email; requires remarks when decision is REJECTED; defaults decision date to now.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rules.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Mandatory Remarks Logic</w:t>
      </w:r>
      <w:r>
        <w:t xml:space="preserve"> – Rejections must always carry an explanation.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LegalVerificationDTO and LegalVerification.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missing remarks on rejection and duplicate records.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15. LoanApplicationServiceImpl.java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all mandatory applicant/address/employment/property fields (user email, product, loan amount, tenure, purpose, applicant name/mobile/PAN, address fields, employment type, income, EMIs); auto-generates APP- prefixed ID and a unique tracking number (TRK-&lt;timestamp&gt;-&lt;id suffix&gt;); defaults status to "SUBMITTED" and stage index to 0.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Re-validates; keeps tracking number and creation timestamp immutable once assigned; validates status against the full application lifecycle (DRAFT → SUBMITTED → ... → CLOSED/DEFAULTED).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Tracking Number Generation Logic</w:t>
      </w:r>
      <w:r>
        <w:t xml:space="preserve"> – Produces a unique, customer-facing reference automatically.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LoanApplicationDTO and LoanApplication, wiring foreign-key references to AppUser and LoanProduct.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missing mandatory fields, invalid PAN/mobile, negative interest rate, and invalid statuses.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16. LoanDraftServiceImpl.java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Only requires user email + step (intentionally permissive since it's a draft); validates whatever fields are supplied (positive step, non-negative loan amount, positive tenure); auto-generates a DRF- prefixed ID; sets savedAt and defaults currentStep to 1.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supplied fields; always refreshes savedAt on every save.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Partial-Data Tolerance Logic</w:t>
      </w:r>
      <w:r>
        <w:t xml:space="preserve"> – Accepts incomplete data by design, since a draft represents in-progress work.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LoanDraftDTO and LoanDraft.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only for internally inconsistent values (negative amounts, non-positive step/tenure).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17. LoanProductServiceImpl.java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name, category (HOME_PURCHASE/CONSTRUCTION/RENOVATION/PLOT_LOAN/BALANCE_TRANSFER/TOP_UP), interest rate (positive, capped at plausibility limit of 30%), max tenure (positive, capped at 30 years), and max LTV; auto-generates a PRD- prefixed ID.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catalog rules.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Plausibility Validation Logic</w:t>
      </w:r>
      <w:r>
        <w:t xml:space="preserve"> – Rejects implausible interest rates/tenures to catch data-entry errors.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LoanProductDTO and LoanProduct.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categories and out-of-range rates/tenures.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18. NotificationServiceImpl.java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user email, title, body, and at least one supported channel (SMS/EMAIL/INAPP); auto-generates an NTF- prefixed ID; defaults isRead to false and stamps creation time.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channels and content.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Channel Validation Logic</w:t>
      </w:r>
      <w:r>
        <w:t xml:space="preserve"> – Restricts notifications to the supported delivery channel set.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Default Read-Status Logic</w:t>
      </w:r>
      <w:r>
        <w:t xml:space="preserve"> – New notifications always start unread.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NotificationDTO and Notification.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unsupported channels and missing content.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19. PostDisbursementDocumentServiceImpl.java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appId, doc type, file name, and file size (max 10MB); auto-generates a PDD- prefixed ID; sets upload timestamp; defaults status to "PENDING".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Requires verifiedByEmail when status becomes APPROVED/REJECTED; auto-stamps verifiedAt on first verification.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PostDisbursementDocumentDTO and PostDisbursementDocument, linking to LoanApplication and verifying AppUser.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oversized files, invalid statuses, and missing verifier on approval/rejection.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20. RolePermissionServiceImpl.java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role (customer/legal/bankoffice/bidder/admin) and module; prevents duplicate role+module permission rows; enforces that canView must be true whenever canAdd, canEdit, or canDelete is granted.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 the same view-before-modify rule.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 (composite key: role + module).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View-Precondition Logic</w:t>
      </w:r>
      <w:r>
        <w:t xml:space="preserve"> – A role cannot be given add/edit/delete rights on a module without also having view rights.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RolePermissionDTO and RolePermission, defaulting all boolean flags to false when unset.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roles and inconsistent permission combinations.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21. ServiceRequestServiceImpl.java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create()</w:t>
      </w:r>
      <w:r>
        <w:t xml:space="preserve"> – Validates user email, request type (ENGINEER_INSPECTION/DOCUMENT_EXCHANGE/NOC_REQUEST/FORECLOSURE/GENERAL_QUERY), and description (max 2000 chars); auto-generates an SR- prefixed ID and a unique reference number (REF-&lt;timestamp&gt;-&lt;id suffix&gt;); defaults status to "SUBMITTED"; stamps creation time.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update()</w:t>
      </w:r>
      <w:r>
        <w:t xml:space="preserve"> – Re-validates; preserves reference number and creation timestamp once assigned; validates status against the request lifecycle (SUBMITTED → ASSIGNED → IN_PROGRESS → COMPLETED/REJECTED).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delete() / findById() / findAll()</w:t>
      </w:r>
      <w:r>
        <w:t xml:space="preserve"> – Standard CRUD.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Reference Number Generation Logic</w:t>
      </w:r>
      <w:r>
        <w:t xml:space="preserve"> – Auto-creates a unique, customer-facing tracking reference.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DTO ↔ Entity Mapping</w:t>
      </w:r>
      <w:r>
        <w:t xml:space="preserve"> – Converts between ServiceRequestDTO and ServiceRequest, linking to LoanApplication and AppUser.</w:t>
      </w:r>
    </w:p>
    <w:p>
      <w:pPr>
        <w:pStyle w:val="ListParagraph"/>
        <w:numPr>
          <w:ilvl w:val="0"/>
          <w:numId w:val="1"/>
        </w:numPr>
        <w:spacing w:after="140"/>
        <w:ind w:left="360"/>
      </w:pPr>
      <w:r>
        <w:rPr>
          <w:b/>
          <w:bCs/>
        </w:rPr>
        <w:t xml:space="preserve">Exception Handling</w:t>
      </w:r>
      <w:r>
        <w:t xml:space="preserve"> – Throws exceptions for invalid request types, oversized descriptions, and invalid status transitions.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2026-07-21T10:24:29.501Z</dcterms:created>
  <dcterms:modified xsi:type="dcterms:W3CDTF">2026-07-21T10:24:29.517Z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