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6C49FF" w14:textId="77777777" w:rsidR="006035E0" w:rsidRDefault="006035E0" w:rsidP="006035E0">
      <w:pPr>
        <w:pStyle w:val="pdq2pgselectionanchorcontainer"/>
      </w:pPr>
      <w:r>
        <w:rPr>
          <w:rStyle w:val="Strong"/>
        </w:rPr>
        <w:t>Cost Analysis – Mira</w:t>
      </w:r>
    </w:p>
    <w:p w14:paraId="775F73FB" w14:textId="77777777" w:rsidR="006035E0" w:rsidRDefault="006035E0" w:rsidP="006035E0">
      <w:pPr>
        <w:pStyle w:val="NormalWeb"/>
      </w:pPr>
      <w:r>
        <w:t xml:space="preserve">Mira uses GPT-5 mini for the Router and three specialist AI agents. The current API pricing is $0.25 per 1 million input tokens and $2.00 per 1 million output tokens. Therefore, the AI cost per request is expected to be low for normal project-management queries, although the actual cost depends on the number of input and output tokens used. n8n Cloud is a separate infrastructure cost; its pricing depends on the selected plan and execution allowance. </w:t>
      </w:r>
    </w:p>
    <w:p w14:paraId="23F154CE" w14:textId="77777777" w:rsidR="006035E0" w:rsidRDefault="006035E0" w:rsidP="006035E0">
      <w:pPr>
        <w:pStyle w:val="NormalWeb"/>
      </w:pPr>
      <w:r>
        <w:t xml:space="preserve">For example, if a request used 10,000 input tokens and 2,000 output tokens, the estimated GPT-5 mini cost would be approximately </w:t>
      </w:r>
      <w:r>
        <w:rPr>
          <w:rStyle w:val="Strong"/>
        </w:rPr>
        <w:t>$0.0045 per request</w:t>
      </w:r>
      <w:r>
        <w:t>:</w:t>
      </w:r>
    </w:p>
    <w:p w14:paraId="7C4F169C" w14:textId="77777777" w:rsidR="006035E0" w:rsidRDefault="006035E0" w:rsidP="006035E0">
      <w:pPr>
        <w:pStyle w:val="NormalWeb"/>
      </w:pPr>
      <w:r>
        <w:rPr>
          <w:rStyle w:val="Strong"/>
        </w:rPr>
        <w:t>Input:</w:t>
      </w:r>
      <w:r>
        <w:t xml:space="preserve"> 10,000 × $0.25 / 1,000,000 = $0.0025</w:t>
      </w:r>
      <w:r>
        <w:br/>
      </w:r>
      <w:r>
        <w:rPr>
          <w:rStyle w:val="Strong"/>
        </w:rPr>
        <w:t>Output:</w:t>
      </w:r>
      <w:r>
        <w:t xml:space="preserve"> 2,000 × $2.00 / 1,000,000 = $0.0040</w:t>
      </w:r>
      <w:r>
        <w:br/>
      </w:r>
      <w:r>
        <w:rPr>
          <w:rStyle w:val="Strong"/>
        </w:rPr>
        <w:t>Total:</w:t>
      </w:r>
      <w:r>
        <w:t xml:space="preserve"> </w:t>
      </w:r>
      <w:r>
        <w:rPr>
          <w:rStyle w:val="Strong"/>
        </w:rPr>
        <w:t>$0.0065 per request</w:t>
      </w:r>
    </w:p>
    <w:p w14:paraId="01234C39" w14:textId="77777777" w:rsidR="006035E0" w:rsidRDefault="006035E0" w:rsidP="006035E0">
      <w:pPr>
        <w:pStyle w:val="NormalWeb"/>
      </w:pPr>
      <w:r>
        <w:t>Actual Mira costs should be calculated from the token usage shown in n8n/OpenAI execution information rather than assuming this example usage.</w:t>
      </w:r>
    </w:p>
    <w:p w14:paraId="33F51C35" w14:textId="77777777" w:rsidR="003959F5" w:rsidRPr="006035E0" w:rsidRDefault="003959F5" w:rsidP="006035E0"/>
    <w:sectPr w:rsidR="003959F5" w:rsidRPr="00603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06"/>
    <w:rsid w:val="003959F5"/>
    <w:rsid w:val="00404AC3"/>
    <w:rsid w:val="006035E0"/>
    <w:rsid w:val="006C6A06"/>
    <w:rsid w:val="0076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573A4"/>
  <w15:chartTrackingRefBased/>
  <w15:docId w15:val="{900B4761-7407-BF46-A8D2-8EEA07F6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6A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6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dq2pgselectionanchorcontainer">
    <w:name w:val="pdq2pg_selectionanchorcontainer"/>
    <w:basedOn w:val="Normal"/>
    <w:rsid w:val="00603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Sivaganesh VR</dc:creator>
  <cp:keywords/>
  <dc:description/>
  <cp:lastModifiedBy>Sivaganesh VR</cp:lastModifiedBy>
  <cp:revision>2</cp:revision>
  <dcterms:created xsi:type="dcterms:W3CDTF">2026-09-02T16:13:00Z</dcterms:created>
  <dcterms:modified xsi:type="dcterms:W3CDTF">2026-09-02T16:15:00Z</dcterms:modified>
</cp:coreProperties>
</file>