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Mira Programme Charter</w:t>
      </w:r>
    </w:p>
    <w:p>
      <w:r>
        <w:rPr>
          <w:i/>
        </w:rPr>
        <w:t>Mira — Project Intelligence Assistant</w:t>
      </w:r>
    </w:p>
    <w:p>
      <w:pPr>
        <w:pStyle w:val="Heading1"/>
      </w:pPr>
      <w:r>
        <w:t>Purpose</w:t>
      </w:r>
    </w:p>
    <w:p>
      <w:r>
        <w:t>Define the scope, objectives, governance, and delivery boundaries for Mira, a project intelligence assistant for the ABCDE Ltd. AI adoption project.</w:t>
      </w:r>
    </w:p>
    <w:p>
      <w:pPr>
        <w:pStyle w:val="Heading1"/>
      </w:pPr>
      <w:r>
        <w:t>Business objective</w:t>
      </w:r>
    </w:p>
    <w:p>
      <w:r>
        <w:t>Provide project teams with grounded project-plan generation, risk assessment, and weekly status reporting through a documented multi-agent workflow.</w:t>
      </w:r>
    </w:p>
    <w:p>
      <w:pPr>
        <w:pStyle w:val="Heading1"/>
      </w:pPr>
      <w:r>
        <w:t>Scope</w:t>
      </w:r>
    </w:p>
    <w:p>
      <w:pPr>
        <w:pStyle w:val="ListBullet"/>
      </w:pPr>
      <w:r>
        <w:t>Core capability: Project Plan Generation.</w:t>
      </w:r>
    </w:p>
    <w:p>
      <w:pPr>
        <w:pStyle w:val="ListBullet"/>
      </w:pPr>
      <w:r>
        <w:t>Core capability: Risk Assessment.</w:t>
      </w:r>
    </w:p>
    <w:p>
      <w:pPr>
        <w:pStyle w:val="ListBullet"/>
      </w:pPr>
      <w:r>
        <w:t>Core capability: Weekly Status Report.</w:t>
      </w:r>
    </w:p>
    <w:p>
      <w:pPr>
        <w:pStyle w:val="ListBullet"/>
      </w:pPr>
      <w:r>
        <w:t>Extended capabilities may include milestone alerts, stakeholder update generation, resource allocation advice, and competitive analysis.</w:t>
      </w:r>
    </w:p>
    <w:p>
      <w:pPr>
        <w:pStyle w:val="ListBullet"/>
      </w:pPr>
      <w:r>
        <w:t>Use the supplied project dataset as the grounding source; where the repository uses a synthetic replacement, label it clearly and replace it with the official course dataset when available.</w:t>
      </w:r>
    </w:p>
    <w:p>
      <w:pPr>
        <w:pStyle w:val="Heading1"/>
      </w:pPr>
      <w:r>
        <w:t>Delivery approach</w:t>
      </w:r>
    </w:p>
    <w:p>
      <w:pPr>
        <w:pStyle w:val="ListBullet"/>
      </w:pPr>
      <w:r>
        <w:t>Router-based multi-agent architecture with a router and specialist agents.</w:t>
      </w:r>
    </w:p>
    <w:p>
      <w:pPr>
        <w:pStyle w:val="ListBullet"/>
      </w:pPr>
      <w:r>
        <w:t>Target architecture: 3–5 agents with explicit responsibilities and orchestration rationale.</w:t>
      </w:r>
    </w:p>
    <w:p>
      <w:pPr>
        <w:pStyle w:val="ListBullet"/>
      </w:pPr>
      <w:r>
        <w:t>Observability should expose traces for each run and agent, with token/cost visibility where supported.</w:t>
      </w:r>
    </w:p>
    <w:p>
      <w:pPr>
        <w:pStyle w:val="ListBullet"/>
      </w:pPr>
      <w:r>
        <w:t>Evaluation should use independent ground truth and a documented baseline for every test input.</w:t>
      </w:r>
    </w:p>
    <w:p>
      <w:pPr>
        <w:pStyle w:val="Heading1"/>
      </w:pPr>
      <w:r>
        <w:t>Success criteria</w:t>
      </w:r>
    </w:p>
    <w:p>
      <w:pPr>
        <w:pStyle w:val="ListBullet"/>
      </w:pPr>
      <w:r>
        <w:t>All required baseline test inputs are executed and documented.</w:t>
      </w:r>
    </w:p>
    <w:p>
      <w:pPr>
        <w:pStyle w:val="ListBullet"/>
      </w:pPr>
      <w:r>
        <w:t>Outputs are captured without fabricating results.</w:t>
      </w:r>
    </w:p>
    <w:p>
      <w:pPr>
        <w:pStyle w:val="ListBullet"/>
      </w:pPr>
      <w:r>
        <w:t>Agent-specific evaluation is supported by independent ground-truth facts.</w:t>
      </w:r>
    </w:p>
    <w:p>
      <w:pPr>
        <w:pStyle w:val="ListBullet"/>
      </w:pPr>
      <w:r>
        <w:t>Repository contains workflow JSON, documentation, evidence, and environment-safe configuration.</w:t>
      </w:r>
    </w:p>
    <w:p>
      <w:pPr>
        <w:pStyle w:val="Heading1"/>
      </w:pPr>
      <w:r>
        <w:t>Governance and assumptions</w:t>
      </w:r>
    </w:p>
    <w:p>
      <w:r>
        <w:t>This charter is a submission-ready documentation artifact based on the project materials available in the working session. Any field requiring official course data, live n8n execution evidence, or measured scores must be verified before final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