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FORENSICBRIDGE</w:t>
      </w:r>
    </w:p>
    <w:p>
      <w:pPr>
        <w:spacing w:after="300"/>
        <w:jc w:val="center"/>
      </w:pPr>
      <w:r>
        <w:rPr>
          <w:rFonts w:ascii="Arial" w:cs="Arial" w:eastAsia="Arial" w:hAnsi="Arial"/>
          <w:color w:val="2c5282"/>
          <w:sz w:val="40"/>
          <w:szCs w:val="40"/>
        </w:rPr>
        <w:t xml:space="preserve">Technical Whitepaper</w:t>
      </w:r>
    </w:p>
    <w:p>
      <w:pPr>
        <w:spacing w:after="100"/>
        <w:jc w:val="center"/>
      </w:pPr>
      <w:r>
        <w:rPr>
          <w:rFonts w:ascii="Arial" w:cs="Arial" w:eastAsia="Arial" w:hAnsi="Arial"/>
          <w:color w:val="2d3748"/>
          <w:sz w:val="28"/>
          <w:szCs w:val="28"/>
        </w:rPr>
        <w:t xml:space="preserve">Cryptographically Verified Financial Data Migration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QuickBooks Desktop to QuickBooks Online &amp; Caseware Working Papers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Version 4.3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January 2026</w:t>
      </w:r>
    </w:p>
    <w:p>
      <w:pPr>
        <w:jc w:val="center"/>
      </w:pPr>
      <w:r>
        <w:rPr>
          <w:rFonts w:ascii="Arial" w:cs="Arial" w:eastAsia="Arial" w:hAnsi="Arial"/>
          <w:color w:val="3182ce"/>
          <w:sz w:val="24"/>
          <w:szCs w:val="24"/>
        </w:rPr>
        <w:t xml:space="preserve">www.forensicbridge.ca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is an enterprise-grade data migration platform that transforms QuickBooks Desktop (.QBW) data into QuickBooks Online with cryptographic verification and forensic audit trails. The system also supports Caseware export mode for generating audit-ready CSV files compatible with Caseware Working Papers and OnPoint DAS.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Unlike traditional ETL (Extract, Transform, Load) tools that prioritize speed over integrity, ForensicBridge implements a Forensic Trust Chain that maintains a continuous, cryptographically verifiable chain of custody from the source QuickBooks Desktop file to the destination ledger.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Key Differentiators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Tools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ForensicBridge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Data Verification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SHA-256 per-record hashing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Trial Balance Check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Manual reconciliation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Automated variance analysis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Transit only (TLS)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AES-256-GCM at rest and in transit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Audit Certificate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Not available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Court-admissible PDF generation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PII Protection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Basic or none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Automatic SSN/CC/phone redaction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Compliance Alignment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Limited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SOC 2, HIPAA, PCI-DSS ready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Dual Destination Support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supports two distinct output modes, selectable at runtime: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Format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Primary: QBO Mode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Online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Direct API push via QBO REST API v65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Secondary: Caseware Mode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Caseware Working Papers / OnPoint DAS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Audit_TB.csv, Audit_GL.csv, Audit_Mapping.cvw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Technical Architecture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employs a hybrid architecture combining a Windows desktop client for QuickBooks extraction with a cloud-based transformation and verification backend.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System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QBDesktopReader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C# .NET 6.0 + QBFC16 SDK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Direct COM integration with QuickBooks Desktop; extracts 55 entity types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Python Flask + PostgreSQL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REST API, user management, file handling, job orchestration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Python + QBO API v65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Data transformation, QBO push, verification, Caseware export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Next.js (React) + TypeScript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Real-time WebSocket-driven monitoring and controls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Cloud Infrastructure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AWS (S3, CloudWatch, WAF, KMS)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Storage, logging, security, encryption key management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Codebase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Total Source Files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107 files (.cs, .py, .tsx, .ts, .js)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QBDesktopReader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22 C# files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QBMigrationLauncher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15 C# files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~35 Python files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QBMigrationService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~20 Python files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forensicbridge-dashboard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~15 TypeScript/React files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Data Flow Pipeline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The migration process follows a four-phase pipeline, each with distinct security and verification checkpoints: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Secure Extraction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QBFC16 SDK extracts 55 entity types; SHA-256 hash computed per record; PII sanitized; data encrypted with AES-256-GCM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Encrypted Transit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Chunked upload (10MB segments) to S3 via TLS 1.3; integrity verified on receipt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Multi-Core Transformation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Parallel entity conversion; linked transaction reconstruction; 31 entity types mapped to QBO schema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Forensic Certification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Hash re-verification; trial balance reconciliation; PDF audit certificate generation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Entity Type Coverage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extracts 55 distinct entity types from QuickBooks Desktop. Of these, 31 are transformable to QuickBooks Online (QBO supports fewer entity types than Desktop).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55 entity types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Extracted from QuickBooks Desktop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QBDataExtractor.cs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31 entity types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Transformable to QuickBooks Online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data_transformer.py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Lists (25 Entity Types)</w:t>
      </w:r>
    </w:p>
    <w:p>
      <w:pPr>
        <w:spacing w:after="200"/>
        <w:rPr>
          <w:color w:val="718096"/>
          <w:sz w:val="22"/>
          <w:szCs w:val="22"/>
        </w:rPr>
      </w:pPr>
      <w:r>
        <w:rPr>
          <w:rFonts w:ascii="Arial" w:cs="Arial" w:eastAsia="Arial" w:hAnsi="Arial"/>
          <w:color w:val="718096"/>
          <w:sz w:val="22"/>
          <w:szCs w:val="22"/>
        </w:rPr>
        <w:t xml:space="preserve">Accounts, Customers, Vendors, Employees, Leads, OtherNames, Items, Classes, PaymentMethods, Terms, SalesTaxCodes, CustomerTypes, VendorTypes, JobTypes, Currencies, CustomerMessages, DateDrivenTerms, InventorySites, PayrollItemWages, PayrollItemNonWages, WorkersCompCodes, PriceLevels, SalesReps, ShipMethods, SalesTaxGroups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Transactions (30 Entity Types)</w:t>
      </w:r>
    </w:p>
    <w:p>
      <w:pPr>
        <w:spacing w:after="200"/>
        <w:rPr>
          <w:color w:val="718096"/>
          <w:sz w:val="22"/>
          <w:szCs w:val="22"/>
        </w:rPr>
      </w:pPr>
      <w:r>
        <w:rPr>
          <w:rFonts w:ascii="Arial" w:cs="Arial" w:eastAsia="Arial" w:hAnsi="Arial"/>
          <w:color w:val="718096"/>
          <w:sz w:val="22"/>
          <w:szCs w:val="22"/>
        </w:rPr>
        <w:t xml:space="preserve">Invoices, SalesReceipts, Estimates, PurchaseOrders, SalesOrders, Bills, BillPayments (Check/CC), VendorCredits, ReceivePayments, ARRefundCreditCards, Checks, JournalEntries, SalesTaxPayments, CreditCardCharges, CreditCardCredits, Charges, CreditMemos, Deposits, InventoryAdjustments, ItemReceipts, BuildAssemblies, Transfers, InventoryTransfers, Preferences, DataExtensions, DeletedRecords, ReportVerification, CompanyActivity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Lead Sheet Code Mapping (Caseware Mode)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44 pre-mapped Lead Sheet codes support standard, agricultural, and manufacturing chart of accounts: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300"/>
        <w:gridCol w:w="3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Range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Standard Assets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A1-A5, A3.1-A3.2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Bank, AR, OCA, Fixed Assets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Agricultural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A6.1-A6.8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Livestock, Crops, Farm Equipment, Breeding Stock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Manufacturing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A7.1-A7.8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Raw Materials, WIP, Finished Goods, Tooling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Other Industries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A8.1-A8.5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Construction in Progress, Oil &amp; Gas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Liabilities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L1-L4.2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AP, Credit Card, Payroll, Mortgage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Equity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E1-E5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Equity, Retained Earnings, Partner Capital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R1-R2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Sales, Service Income, Contract Revenue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Security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Encryption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AES-256-GCM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Data encryption at rest and in transit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256-bit key, 96-bit IV, authenticated encryption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SHA-256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Forensic integrity hashing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Per-record cryptographic fingerprint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Argon2id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Password hashing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Memory-hard, resistant to GPU attacks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PBKDF2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Key derivation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100,000 iterations minimum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AWS KMS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Customer-managed key support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Envelope encryption with CMK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Data Persistence Model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implements a tiered persistence model that balances operational requirements with zero-trust security principles: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Persistent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User accounts, migration metadata, audit logs (no financial data)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SQLite (temp)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Session only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QBD-to-QBO ID mappings; deleted after run completion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Flight 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Zero persistence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Raw financial transactions streamed and discarded immediately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Critical distinction: </w:t>
      </w: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Actual financial data (invoices, bills, payments) is encrypted, transmitted, processed, and immediately discarded. Only metadata and audit trails are persisted.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PII Sanitization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Automatic detection and redaction occurs before data leaves the extraction environment: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PII Type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Pattern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Social Security Numbers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XXX-XX-XXXX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 redaction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Credit Card Numbers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13-19 digit sequences (Luhn validated)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Mask to last 4 digits only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Phone Numbers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Various North American formats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E.164 normalization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Email Addresses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RFC 5322 compliant patterns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Validation and sanitization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Data Residency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Canadian data residency (AWS ca-central-1, Montreal) is enforced by default for enterprise deployments: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AWS Region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ca-central-1 (Montreal)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Yes, via AWS_REGION env var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S3 Bucket Region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ca-central-1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Enforced for Enterprise tier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RDS Region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ca-central-1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Enforced for Enterprise tier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Forensic Verification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Per-Record SHA-256 Hashing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Every transaction extracted from QuickBooks Desktop receives a per-record SHA-256 integrity hash computed using canonical field ordering. This creates an immutable cryptographic fingerprint that can be verified post-migration.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Hash Verification Process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C# client computes hash during extraction (ForensicHashingService.cs)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Hash stored alongside encrypted data in upload bundle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Python service re-computes hash after decryption (encryption.py)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Mismatch triggers hard abort with forensic alert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Hashed Transaction Types (14 Types)</w:t>
      </w:r>
    </w:p>
    <w:p>
      <w:pPr>
        <w:spacing w:after="200"/>
        <w:rPr>
          <w:color w:val="718096"/>
          <w:sz w:val="22"/>
          <w:szCs w:val="22"/>
        </w:rPr>
      </w:pPr>
      <w:r>
        <w:rPr>
          <w:rFonts w:ascii="Arial" w:cs="Arial" w:eastAsia="Arial" w:hAnsi="Arial"/>
          <w:color w:val="718096"/>
          <w:sz w:val="22"/>
          <w:szCs w:val="22"/>
        </w:rPr>
        <w:t xml:space="preserve">Invoice, Bill, ReceivePayment, BillPaymentCheck, CreditMemo, JournalEntry, Check, Deposit, SalesReceipt, PurchaseOrder, SalesOrder, Estimate, VendorCredit, Transfer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Trial Balance Reconciliation Shield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Automated verification that Total Debits equals Total Credits after migration, with drill-down capability to identify specific account variances down to the penny.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Penny-Perfect Match: Compares QuickBooks Desktop trial balance against extracted data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Visual Trust Badge: Real-time "Balanced" or "Discrepancy" indicator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Variance Shield: Verifies bank reconciliation status preservation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Discrepancy Doctor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When variances are detected, the Discrepancy Doctor provides interactive drill-down analysis: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Interactive drill-down with expandable rows per account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Account-level variance display (Source vs. Destination balances)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Severity indicators (Critical/Warning/Info)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Possible cause suggestions with per-discrepancy analysis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Audit Certificate Generation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Court-admissible PDF certificate generated upon successful migration. Certificate includes entity modification counts, cryptographic hash signatures, timestamped digital signature, operator identity, and trial balance verification results.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Performance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Processing Time Benchmarks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Processing time varies based on file size, transaction complexity, network conditions, and QBO API rate limits: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Size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Transaction Count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&lt; 50 MB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&lt; 10,000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3-5 minutes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Typical small business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50-200 MB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10,000-50,000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5-15 minutes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Small CPA firm client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200-500 MB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50,000-150,000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15-30 minutes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Medium business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500 MB - 1 GB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150,000-300,000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30-60 minutes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Large business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1-2.4 GB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300,000-500,000+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45-90 minutes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Enterprise client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Performance Factors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Network upload speed (chunked upload at approximately 10MB/s)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QBO API rate limits (plan-dependent: 2-8 concurrent workers)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Number of linked transactions (invoices linked to payments)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Entity complexity (line items per transaction)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Resilience Features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Checkpoint Resumability: Checkpoints saved every 1,000 records; survives crashes and network interruptions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Incremental Sync: Only extracts records modified since last sync for weekly/monthly refresh operations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Stream-based Processing: NDJSON streaming handles large files that crash competing tools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Enterprise Features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Bulk Migration Manager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Status: </w:t>
      </w:r>
      <w:r>
        <w:rPr>
          <w:rFonts w:ascii="Arial" w:cs="Arial" w:eastAsia="Arial" w:hAnsi="Arial"/>
          <w:b/>
          <w:bCs/>
          <w:color w:val="276749"/>
          <w:sz w:val="24"/>
          <w:szCs w:val="24"/>
        </w:rPr>
        <w:t xml:space="preserve">IMPLEMENTED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Queue-based system for processing multiple company files simultaneously, designed for CPA firms migrating 50+ client files: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Queue-based processing with EnqueueFile() and EnqueueFiles() methods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Background processing with StartProcessingAsync()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Progress events (JobStarted, JobCompleted, JobFailed)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Summary report generation with GenerateSummaryReport()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White-Label Portal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Status: </w:t>
      </w:r>
      <w:r>
        <w:rPr>
          <w:rFonts w:ascii="Arial" w:cs="Arial" w:eastAsia="Arial" w:hAnsi="Arial"/>
          <w:b/>
          <w:bCs/>
          <w:color w:val="276749"/>
          <w:sz w:val="24"/>
          <w:szCs w:val="24"/>
        </w:rPr>
        <w:t xml:space="preserve">IMPLEMENTED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Complete rebranding capability allows firms to present ForensicBridge as their proprietary technology: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Custom subdomain support (migrations.firmname.com)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Logo upload and color scheme customization via CSS variables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License key management (STARTER/PROFESSIONAL/ENTERPRISE tiers)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Reseller portal for multi-firm deployments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Active Archival (Data Museum)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Status: </w:t>
      </w:r>
      <w:r>
        <w:rPr>
          <w:rFonts w:ascii="Arial" w:cs="Arial" w:eastAsia="Arial" w:hAnsi="Arial"/>
          <w:b/>
          <w:bCs/>
          <w:color w:val="276749"/>
          <w:sz w:val="24"/>
          <w:szCs w:val="24"/>
        </w:rPr>
        <w:t xml:space="preserve">IMPLEMENTED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Long-term queryable archive transforms legacy QuickBooks files into compliance-ready storage: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Flask web portal with API key authentication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Full-text transaction search with date, amount, and type filters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Complete audit log of all archive access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AWS Glacier integration for cold storage economics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Customer-Managed Keys (CMK)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Status: </w:t>
      </w:r>
      <w:r>
        <w:rPr>
          <w:rFonts w:ascii="Arial" w:cs="Arial" w:eastAsia="Arial" w:hAnsi="Arial"/>
          <w:b/>
          <w:bCs/>
          <w:color w:val="276749"/>
          <w:sz w:val="24"/>
          <w:szCs w:val="24"/>
        </w:rPr>
        <w:t xml:space="preserve">IMPLEMENTED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Enterprise clients can bring their own AWS KMS encryption keys: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Zero-knowledge architecture: client holds only decryption capability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Envelope encryption: data keys encrypted by customer CMK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Automatic annual key rotation support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Fallback local mode for non-AWS deployments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SSO/SAML Integration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Status: </w:t>
      </w:r>
      <w:r>
        <w:rPr>
          <w:rFonts w:ascii="Arial" w:cs="Arial" w:eastAsia="Arial" w:hAnsi="Arial"/>
          <w:b/>
          <w:bCs/>
          <w:color w:val="276749"/>
          <w:sz w:val="24"/>
          <w:szCs w:val="24"/>
        </w:rPr>
        <w:t xml:space="preserve">IMPLEMENTED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Centralized identity management with major enterprise providers: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Microsoft Entra ID (Azure AD)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OAuth2 / SAML 2.0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Google Workspace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OAuth2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Okta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SAML 2.0 / OAuth2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Implemented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Deployment Options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supports multiple deployment models to meet varying enterprise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7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SaaS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AWS CloudFormation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RDS PostgreSQL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Fully managed deployment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On-Premise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Single .exe installer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Embedded SQLite/PostgreSQL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Air-gapped option available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Hybrid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Desktop client + hosted backend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Typical enterprise setup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QuickBooks Desktop Version Support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QBFC16 SDK provides broad compatibility with QuickBooks Desktop versions: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Range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Desktop 2016+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Native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Direct QBFC16 SDK support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Desktop 2015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Compatible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Via QBXML v13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Desktop 2010-2014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Legacy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Requires QBXML fallback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Pro/Premier/Enterprise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All editions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 support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File Format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3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 Level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Company File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.QBW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Native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Direct QBFC16 SDK extraction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Backup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.QBB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Via Restore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Restore to .QBW first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QuickBooks Portable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.QBM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Via Restore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Restore to .QBW first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Intuit Interchange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.IIF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 Parser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Alternative extraction method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Excel Export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.XLSX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Accountant-friendly import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CSV Export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.CSV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Universal compatibility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QBXML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v1-16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All QB Desktop versions since 2000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Compliance Alignment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is designed to support compliance with major regulatory frameworks: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Relevant Features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SOC 2 Type II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Ready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Activity logging, access controls, audit trails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HIPAA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Ready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PHI encryption, PII redaction, audit trails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PCI-DSS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Ready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Payment data handling, credit card masking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GDPR / CCPA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Ready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PII sanitization, data deletion capabilities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ISO 27001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Ready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Information security management controls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CRA IC05-1R1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Ready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Canadian record-keeping requirements (6 years)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IRS Rev. Proc. 98-25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Ready</w:t>
            </w:r>
          </w:p>
        </w:tc>
        <w:tc>
          <w:tcPr>
            <w:tcW w:type="dxa" w:w="5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US record-keeping requirements (7 years)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Quality Assurance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Test Coverage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The following metrics represent test pass rates (not line coverage):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200"/>
        <w:gridCol w:w="25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Rate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Results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QBMigrationService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92.4%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85/92 tests passed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7 tests require attention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QBMigrationServer Auth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10/10 tests passed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Full coverage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QBMigrationServer Basic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4/4 tests passed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Health/status endpoints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ForensicBridge Dashboard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46/46 tests passed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All components tested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Total Tests: </w:t>
      </w:r>
      <w:r>
        <w:rPr>
          <w:rFonts w:ascii="Arial" w:cs="Arial" w:eastAsia="Arial" w:hAnsi="Arial"/>
          <w:color w:val="2d3748"/>
          <w:sz w:val="24"/>
          <w:szCs w:val="24"/>
        </w:rPr>
        <w:t xml:space="preserve">152  |  </w:t>
      </w: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Passing: </w:t>
      </w:r>
      <w:r>
        <w:rPr>
          <w:rFonts w:ascii="Arial" w:cs="Arial" w:eastAsia="Arial" w:hAnsi="Arial"/>
          <w:color w:val="2d3748"/>
          <w:sz w:val="24"/>
          <w:szCs w:val="24"/>
        </w:rPr>
        <w:t xml:space="preserve">145 (95.4% overall pass rate)</w:t>
      </w:r>
    </w:p>
    <w:p>
      <w:pPr>
        <w:spacing w:after="200"/>
      </w:pP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Conclusion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ForensicBridge represents a fundamental shift from "data migration" to "forensic data transport." By implementing cryptographic verification at every step, automated trial balance reconciliation, and court-ready audit certificates, ForensicBridge enables CPA firms to offer premium migration services with documented proof of data integrity.</w:t>
      </w:r>
    </w:p>
    <w:p>
      <w:pPr>
        <w:spacing w:after="200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The platform addresses the critical market window created by Intuit's QuickBooks Desktop discontinuation, providing audit firms with a defensible, enterprise-ready solution for the largest forced migration event in accounting software history.</w:t>
      </w: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For technical support or enterprise licensing inquiries: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3182ce"/>
          <w:sz w:val="24"/>
          <w:szCs w:val="24"/>
        </w:rPr>
        <w:t xml:space="preserve">www.forensicbridge.ca</w:t>
      </w:r>
    </w:p>
    <w:p>
      <w:pPr>
        <w:jc w:val="center"/>
      </w:pPr>
      <w:r>
        <w:rPr>
          <w:rFonts w:ascii="Arial" w:cs="Arial" w:eastAsia="Arial" w:hAnsi="Arial"/>
          <w:color w:val="3182ce"/>
          <w:sz w:val="24"/>
          <w:szCs w:val="24"/>
        </w:rPr>
        <w:t xml:space="preserve">support@forensicbridge.ca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This whitepaper documents ForensicBridge version 4.3.</w:t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All specifications verified against source code. Generated January 2026.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20"/>
        <w:szCs w:val="20"/>
      </w:rPr>
      <w:t xml:space="preserve">Page </w:t>
    </w:r>
    <w:r>
      <w:rPr>
        <w:rFonts w:ascii="Arial" w:cs="Arial" w:eastAsia="Arial" w:hAnsi="Arial"/>
        <w:color w:val="71809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20"/>
        <w:szCs w:val="20"/>
      </w:rPr>
      <w:t xml:space="preserve">  |  www.forensicbridge.ca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20"/>
        <w:szCs w:val="20"/>
      </w:rPr>
      <w:t xml:space="preserve">ForensicBridge Technical Whitepaper v4.3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2026-01-18T17:53:40.209Z</dcterms:created>
  <dcterms:modified xsi:type="dcterms:W3CDTF">2026-01-18T17:53:40.210Z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