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bCs/>
        </w:rPr>
        <w:t xml:space="preserve">Business Context: Transition to Salesforce CLI for Salesforce Data Loads</w:t>
      </w:r>
    </w:p>
    <w:p>
      <w:r>
        <w:t xml:space="preserve">The Salesforce data loads currently authenticate with a </w:t>
      </w:r>
      <w:r>
        <w:rPr>
          <w:b/>
          <w:bCs/>
        </w:rPr>
        <w:t xml:space="preserve">username and password</w:t>
      </w:r>
      <w:r>
        <w:t xml:space="preserve"> stored in the </w:t>
      </w:r>
      <w:r>
        <w:rPr>
          <w:b/>
          <w:bCs/>
        </w:rPr>
        <w:t xml:space="preserve">Data Loader</w:t>
      </w:r>
      <w:r>
        <w:t xml:space="preserve"> configuration. This is being migrated to </w:t>
      </w:r>
      <w:r>
        <w:rPr>
          <w:b/>
          <w:bCs/>
        </w:rPr>
        <w:t xml:space="preserve">External Client App (ECA)</w:t>
      </w:r>
      <w:r>
        <w:t xml:space="preserve"> authentication using the </w:t>
      </w:r>
      <w:r>
        <w:rPr>
          <w:b/>
          <w:bCs/>
        </w:rPr>
        <w:t xml:space="preserve">OAuth 2.0 Client Credentials flow</w:t>
      </w:r>
      <w:r>
        <w:t xml:space="preserve">, so that no user credentials are held in the load configuration.</w:t>
      </w:r>
    </w:p>
    <w:p>
      <w:r>
        <w:t xml:space="preserve">The legacy Data Loader command line (process.bat) does not support this flow, so the operations are driven by the </w:t>
      </w:r>
      <w:r>
        <w:rPr>
          <w:b/>
          <w:bCs/>
        </w:rPr>
        <w:t xml:space="preserve">Salesforce CLI (sf)</w:t>
      </w:r>
      <w:r>
        <w:t xml:space="preserve"> against </w:t>
      </w:r>
      <w:r>
        <w:rPr>
          <w:b/>
          <w:bCs/>
        </w:rPr>
        <w:t xml:space="preserve">Bulk API 2.0</w:t>
      </w:r>
      <w:r>
        <w:t xml:space="preserve"> instead. The solution has been validated with </w:t>
      </w:r>
      <w:r>
        <w:rPr>
          <w:b/>
          <w:bCs/>
        </w:rPr>
        <w:t xml:space="preserve">Salesforce CLI v2.136.8</w:t>
      </w:r>
      <w:r>
        <w:t xml:space="preserve"> (win32-x64, Node v22.19.0).</w:t>
      </w:r>
    </w:p>
    <w:p>
      <w:r>
        <w:t xml:space="preserve">This request is to install the Salesforce CLI on the </w:t>
      </w:r>
      <w:r>
        <w:rPr>
          <w:b/>
          <w:bCs/>
        </w:rPr>
        <w:t xml:space="preserve">UAT server NLGTPTVAPP444</w:t>
      </w:r>
      <w:r>
        <w:t xml:space="preserve">. After the results are validated in UAT, the same configuration will be promoted to the Production server NLGPPTVAPP447.</w:t>
      </w:r>
    </w:p>
    <w:p/>
    <w:p>
      <w:r>
        <w:rPr>
          <w:b/>
          <w:bCs/>
        </w:rPr>
        <w:t xml:space="preserve">High-Level Functional Objectives</w:t>
      </w:r>
    </w:p>
    <w:tbl>
      <w:tblPr>
        <w:tblW w:w="0" w:type="auto"/>
        <w:tblCellMar>
          <w:left w:w="0" w:type="dxa"/>
          <w:right w:w="0" w:type="dxa"/>
        </w:tblCellMar>
        <w:tblLook w:val="04A0" w:firstRow="1" w:lastRow="0" w:firstColumn="1" w:lastColumn="0" w:noHBand="0" w:noVBand="1"/>
      </w:tblPr>
      <w:tblGrid>
        <w:gridCol w:w="1096"/>
        <w:gridCol w:w="1824"/>
        <w:gridCol w:w="6440"/>
      </w:tblGrid>
      <w:tr w:rsidR="00AB6177" w:rsidRPr="00AB6177" w14:paraId="4E62A541" w14:textId="77777777">
        <w:trPr>
          <w:gridAfter w:val="2"/>
          <w:tblHeader/>
        </w:trPr>
        <w:tc>
          <w:tcPr>
            <w:tcW w:w="0" w:type="auto"/>
            <w:vAlign w:val="center"/>
            <w:hideMark/>
          </w:tcPr>
          <w:p w14:paraId="26B37A2C" w14:textId="77777777" w:rsidR="00AB6177" w:rsidRPr="00AB6177" w:rsidRDefault="00AB6177" w:rsidP="00AB6177">
            <w:pPr>
              <w:rPr>
                <w:b/>
                <w:bCs/>
              </w:rPr>
            </w:pPr>
          </w:p>
        </w:tc>
      </w:tr>
      <w:tr w:rsidR="00AB6177" w:rsidRPr="00AB6177" w14:paraId="7748D468" w14:textId="77777777">
        <w:tc>
          <w:tcPr>
            <w:tcW w:w="0" w:type="auto"/>
            <w:tcBorders>
              <w:top w:val="single" w:sz="6" w:space="0" w:color="auto"/>
              <w:left w:val="single" w:sz="6" w:space="0" w:color="auto"/>
              <w:bottom w:val="single" w:sz="6" w:space="0" w:color="auto"/>
              <w:right w:val="single" w:sz="6" w:space="0" w:color="auto"/>
            </w:tcBorders>
            <w:shd w:val="clear" w:color="auto" w:fill="F8E6A0"/>
            <w:tcMar>
              <w:top w:w="105" w:type="dxa"/>
              <w:left w:w="150" w:type="dxa"/>
              <w:bottom w:w="105" w:type="dxa"/>
              <w:right w:w="150" w:type="dxa"/>
            </w:tcMar>
            <w:hideMark/>
          </w:tcPr>
          <w:p w14:paraId="396A7C17" w14:textId="77777777" w:rsidR="00AB6177" w:rsidRPr="00AB6177" w:rsidRDefault="00AB6177" w:rsidP="00AB6177">
            <w:r w:rsidRPr="00AB6177">
              <w:t>Existing</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45275127" w14:textId="77777777" w:rsidR="00AB6177" w:rsidRPr="00AB6177" w:rsidRDefault="00AB6177" w:rsidP="00AB6177"/>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106113FF" w14:textId="77777777" w:rsidR="00AB6177" w:rsidRPr="00AB6177" w:rsidRDefault="00AB6177" w:rsidP="00AB6177"/>
        </w:tc>
      </w:tr>
      <w:tr w:rsidR="00AB6177" w:rsidRPr="00AB6177" w14:paraId="466F8637" w14:textId="77777777">
        <w:tc>
          <w:tcPr>
            <w:tcW w:w="0" w:type="auto"/>
            <w:tcBorders>
              <w:top w:val="single" w:sz="6" w:space="0" w:color="auto"/>
              <w:left w:val="single" w:sz="6" w:space="0" w:color="auto"/>
              <w:bottom w:val="single" w:sz="6" w:space="0" w:color="auto"/>
              <w:right w:val="single" w:sz="6" w:space="0" w:color="auto"/>
            </w:tcBorders>
            <w:shd w:val="clear" w:color="auto" w:fill="F8E6A0"/>
            <w:tcMar>
              <w:top w:w="105" w:type="dxa"/>
              <w:left w:w="150" w:type="dxa"/>
              <w:bottom w:w="105" w:type="dxa"/>
              <w:right w:w="150" w:type="dxa"/>
            </w:tcMar>
            <w:hideMark/>
          </w:tcPr>
          <w:p>
            <w:r>
              <w:t xml:space="preserve">OBJ.1</w:t>
            </w:r>
          </w:p>
        </w:tc>
        <w:tc>
          <w:tcPr>
            <w:tcW w:w="0" w:type="auto"/>
            <w:tcBorders>
              <w:top w:val="single" w:sz="6" w:space="0" w:color="auto"/>
              <w:left w:val="single" w:sz="6" w:space="0" w:color="auto"/>
              <w:bottom w:val="single" w:sz="6" w:space="0" w:color="auto"/>
              <w:right w:val="single" w:sz="6" w:space="0" w:color="auto"/>
            </w:tcBorders>
            <w:shd w:val="clear" w:color="auto" w:fill="F8E6A0"/>
            <w:tcMar>
              <w:top w:w="105" w:type="dxa"/>
              <w:left w:w="150" w:type="dxa"/>
              <w:bottom w:w="105" w:type="dxa"/>
              <w:right w:w="150" w:type="dxa"/>
            </w:tcMar>
            <w:hideMark/>
          </w:tcPr>
          <w:p>
            <w:r>
              <w:t xml:space="preserve">Data Loader (process.bat)</w:t>
            </w:r>
          </w:p>
        </w:tc>
        <w:tc>
          <w:tcPr>
            <w:tcW w:w="0" w:type="auto"/>
            <w:tcBorders>
              <w:top w:val="single" w:sz="6" w:space="0" w:color="auto"/>
              <w:left w:val="single" w:sz="6" w:space="0" w:color="auto"/>
              <w:bottom w:val="single" w:sz="6" w:space="0" w:color="auto"/>
              <w:right w:val="single" w:sz="6" w:space="0" w:color="auto"/>
            </w:tcBorders>
            <w:shd w:val="clear" w:color="auto" w:fill="F8E6A0"/>
            <w:tcMar>
              <w:top w:w="105" w:type="dxa"/>
              <w:left w:w="150" w:type="dxa"/>
              <w:bottom w:w="105" w:type="dxa"/>
              <w:right w:w="150" w:type="dxa"/>
            </w:tcMar>
            <w:hideMark/>
          </w:tcPr>
          <w:p>
            <w:pPr>
              <w:numPr>
                <w:ilvl w:val="0"/>
                <w:numId w:val="1"/>
              </w:numPr>
            </w:pPr>
            <w:r>
              <w:rPr>
                <w:b/>
                <w:bCs/>
              </w:rPr>
              <w:t xml:space="preserve">Authentication Method:</w:t>
            </w:r>
            <w:r>
              <w:t xml:space="preserve"> Username and password stored in the Data Loader configuration.</w:t>
            </w:r>
          </w:p>
          <w:p>
            <w:pPr>
              <w:numPr>
                <w:ilvl w:val="0"/>
                <w:numId w:val="1"/>
              </w:numPr>
            </w:pPr>
            <w:r>
              <w:rPr>
                <w:b/>
                <w:bCs/>
              </w:rPr>
              <w:t xml:space="preserve">Process:</w:t>
            </w:r>
            <w:r>
              <w:t xml:space="preserve"> Each bean in process-conf.xml holds the entries sfdc.endpoint, sfdc.username, sfdc.password and process.encryptionKeyFile.</w:t>
            </w:r>
          </w:p>
          <w:p>
            <w:pPr>
              <w:numPr>
                <w:ilvl w:val="0"/>
                <w:numId w:val="1"/>
              </w:numPr>
            </w:pPr>
            <w:r>
              <w:rPr>
                <w:b/>
                <w:bCs/>
              </w:rPr>
              <w:t xml:space="preserve">Management:</w:t>
            </w:r>
            <w:r>
              <w:t xml:space="preserve"> The Data Loader key file (dataLoader.key) is referenced by process.encryptionKeyFile.</w:t>
            </w:r>
          </w:p>
          <w:p>
            <w:pPr>
              <w:numPr>
                <w:ilvl w:val="0"/>
                <w:numId w:val="1"/>
              </w:numPr>
            </w:pPr>
            <w:r>
              <w:t xml:space="preserve">The legacy Data Loader command line (process.bat) does not support the OAuth 2.0 Client Credentials flow.</w:t>
            </w:r>
          </w:p>
        </w:tc>
      </w:tr>
      <w:tr w:rsidR="00AB6177" w:rsidRPr="00AB6177" w14:paraId="500396DC" w14:textId="77777777">
        <w:tc>
          <w:tcPr>
            <w:tcW w:w="0" w:type="auto"/>
            <w:tcBorders>
              <w:top w:val="single" w:sz="6" w:space="0" w:color="auto"/>
              <w:left w:val="single" w:sz="6" w:space="0" w:color="auto"/>
              <w:bottom w:val="single" w:sz="6" w:space="0" w:color="auto"/>
              <w:right w:val="single" w:sz="6" w:space="0" w:color="auto"/>
            </w:tcBorders>
            <w:shd w:val="clear" w:color="auto" w:fill="C6EDFB"/>
            <w:tcMar>
              <w:top w:w="105" w:type="dxa"/>
              <w:left w:w="150" w:type="dxa"/>
              <w:bottom w:w="105" w:type="dxa"/>
              <w:right w:w="150" w:type="dxa"/>
            </w:tcMar>
            <w:hideMark/>
          </w:tcPr>
          <w:p w14:paraId="3F7CBF3A" w14:textId="77777777" w:rsidR="00AB6177" w:rsidRPr="00AB6177" w:rsidRDefault="00AB6177" w:rsidP="00AB6177">
            <w:r w:rsidRPr="00AB6177">
              <w:lastRenderedPageBreak/>
              <w:t>New</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2FC0E658" w14:textId="77777777" w:rsidR="00AB6177" w:rsidRPr="00AB6177" w:rsidRDefault="00AB6177" w:rsidP="00AB6177"/>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14:paraId="16518262" w14:textId="77777777" w:rsidR="00AB6177" w:rsidRPr="00AB6177" w:rsidRDefault="00AB6177" w:rsidP="00AB6177"/>
        </w:tc>
      </w:tr>
      <w:tr w:rsidR="00AB6177" w:rsidRPr="00AB6177" w14:paraId="5A3A30D6" w14:textId="77777777">
        <w:tc>
          <w:tcPr>
            <w:tcW w:w="0" w:type="auto"/>
            <w:tcBorders>
              <w:top w:val="single" w:sz="6" w:space="0" w:color="auto"/>
              <w:left w:val="single" w:sz="6" w:space="0" w:color="auto"/>
              <w:bottom w:val="single" w:sz="6" w:space="0" w:color="auto"/>
              <w:right w:val="single" w:sz="6" w:space="0" w:color="auto"/>
            </w:tcBorders>
            <w:shd w:val="clear" w:color="auto" w:fill="C6EDFB"/>
            <w:tcMar>
              <w:top w:w="105" w:type="dxa"/>
              <w:left w:w="150" w:type="dxa"/>
              <w:bottom w:w="105" w:type="dxa"/>
              <w:right w:w="150" w:type="dxa"/>
            </w:tcMar>
            <w:hideMark/>
          </w:tcPr>
          <w:p>
            <w:r>
              <w:t xml:space="preserve">OBJ.2</w:t>
            </w:r>
          </w:p>
        </w:tc>
        <w:tc>
          <w:tcPr>
            <w:tcW w:w="0" w:type="auto"/>
            <w:tcBorders>
              <w:top w:val="single" w:sz="6" w:space="0" w:color="auto"/>
              <w:left w:val="single" w:sz="6" w:space="0" w:color="auto"/>
              <w:bottom w:val="single" w:sz="6" w:space="0" w:color="auto"/>
              <w:right w:val="single" w:sz="6" w:space="0" w:color="auto"/>
            </w:tcBorders>
            <w:shd w:val="clear" w:color="auto" w:fill="C6EDFB"/>
            <w:tcMar>
              <w:top w:w="105" w:type="dxa"/>
              <w:left w:w="150" w:type="dxa"/>
              <w:bottom w:w="105" w:type="dxa"/>
              <w:right w:w="150" w:type="dxa"/>
            </w:tcMar>
            <w:hideMark/>
          </w:tcPr>
          <w:p>
            <w:r>
              <w:t xml:space="preserve">Salesforce CLI (Using Client Credentials)</w:t>
            </w:r>
          </w:p>
        </w:tc>
        <w:tc>
          <w:tcPr>
            <w:tcW w:w="0" w:type="auto"/>
            <w:tcBorders>
              <w:top w:val="single" w:sz="6" w:space="0" w:color="auto"/>
              <w:left w:val="single" w:sz="6" w:space="0" w:color="auto"/>
              <w:bottom w:val="single" w:sz="6" w:space="0" w:color="auto"/>
              <w:right w:val="single" w:sz="6" w:space="0" w:color="auto"/>
            </w:tcBorders>
            <w:shd w:val="clear" w:color="auto" w:fill="C6EDFB"/>
            <w:tcMar>
              <w:top w:w="105" w:type="dxa"/>
              <w:left w:w="150" w:type="dxa"/>
              <w:bottom w:w="105" w:type="dxa"/>
              <w:right w:w="150" w:type="dxa"/>
            </w:tcMar>
            <w:hideMark/>
          </w:tcPr>
          <w:p>
            <w:pPr>
              <w:numPr>
                <w:ilvl w:val="0"/>
                <w:numId w:val="2"/>
              </w:numPr>
            </w:pPr>
            <w:r>
              <w:rPr>
                <w:b/>
                <w:bCs/>
              </w:rPr>
              <w:t xml:space="preserve">Authentication Method:</w:t>
            </w:r>
            <w:r>
              <w:t xml:space="preserve"> OAuth 2.0 Client Credentials Flow using an External Client App (ECA). No user name or password is involved, and no interactive login takes place.</w:t>
            </w:r>
          </w:p>
          <w:p>
            <w:pPr>
              <w:numPr>
                <w:ilvl w:val="0"/>
                <w:numId w:val="2"/>
              </w:numPr>
            </w:pPr>
            <w:r>
              <w:rPr>
                <w:b/>
                <w:bCs/>
              </w:rPr>
              <w:t xml:space="preserve">Process:</w:t>
            </w:r>
            <w:r>
              <w:t xml:space="preserve"> The load process requests its own token from the External Client App at the start of the run, and each job is submitted through the Salesforce CLI bulk command (sf data &lt;operation&gt; bulk) to Bulk API 2.0.</w:t>
            </w:r>
          </w:p>
          <w:p>
            <w:pPr>
              <w:numPr>
                <w:ilvl w:val="0"/>
                <w:numId w:val="2"/>
              </w:numPr>
            </w:pPr>
            <w:r>
              <w:rPr>
                <w:b/>
                <w:bCs/>
              </w:rPr>
              <w:t xml:space="preserve">Server Configuration:</w:t>
            </w:r>
          </w:p>
          <w:p>
            <w:pPr>
              <w:numPr>
                <w:ilvl w:val="1"/>
                <w:numId w:val="2"/>
              </w:numPr>
            </w:pPr>
            <w:r>
              <w:t xml:space="preserve">Download and run the Salesforce CLI Windows x64 installer on the UAT server NLGTPTVAPP444. Node.js is bundled with the installer, so a separate Node installation is not required.</w:t>
            </w:r>
          </w:p>
          <w:p>
            <w:pPr>
              <w:numPr>
                <w:ilvl w:val="1"/>
                <w:numId w:val="2"/>
              </w:numPr>
            </w:pPr>
            <w:r>
              <w:t xml:space="preserve">Verify the installation with sf --version. Expected output: @salesforce/cli/2.136.8 win32-x64 node-v22.19.0</w:t>
            </w:r>
          </w:p>
          <w:p>
            <w:pPr>
              <w:numPr>
                <w:ilvl w:val="1"/>
                <w:numId w:val="2"/>
              </w:numPr>
            </w:pPr>
            <w:r>
              <w:t xml:space="preserve">Confirm curl.exe is available (where curl). curl.exe is used to request the OAuth token and is included with Windows Server 2019 and later.</w:t>
            </w:r>
          </w:p>
          <w:p>
            <w:pPr>
              <w:numPr>
                <w:ilvl w:val="1"/>
                <w:numId w:val="2"/>
              </w:numPr>
            </w:pPr>
            <w:r>
              <w:t xml:space="preserve">Create &lt;root&gt;\Config\clientcreds.json with the External Client App details. This file replaces the stored username and password.</w:t>
            </w:r>
          </w:p>
          <w:p>
            <w:pPr>
              <w:numPr>
                <w:ilvl w:val="1"/>
                <w:numId w:val="2"/>
              </w:numPr>
            </w:pPr>
            <w:r>
              <w:t xml:space="preserve">Delete sfdc.endpoint, sfdc.username, sfdc.password and process.encryptionKeyFile from every bean in process-conf.xml. Leave all other entries unchanged.</w:t>
            </w:r>
          </w:p>
          <w:p>
            <w:pPr>
              <w:numPr>
                <w:ilvl w:val="0"/>
                <w:numId w:val="2"/>
              </w:numPr>
            </w:pPr>
            <w:r>
              <w:rPr>
                <w:b/>
                <w:bCs/>
              </w:rPr>
              <w:t xml:space="preserve">External Client App Management:</w:t>
            </w:r>
            <w:r>
              <w:t xml:space="preserve"> An External Client App is created in Salesforce with the Client Credentials Flow enabled, and a Run As user with the API Enabled permission is assigned to the Client Credentials Flow.</w:t>
            </w:r>
          </w:p>
        </w:tc>
      </w:tr>
    </w:tbl>
    <w:p/>
    <w:p>
      <w:r>
        <w:rPr>
          <w:b/>
          <w:bCs/>
        </w:rPr>
        <w:t xml:space="preserve">Salesforce CLI (Using Client Credentials) Authentication Overview</w:t>
      </w:r>
    </w:p>
    <w:p>
      <w:pPr>
        <w:numPr>
          <w:ilvl w:val="0"/>
          <w:numId w:val="3"/>
        </w:numPr>
      </w:pPr>
    </w:p>
    <w:p>
      <w:pPr>
        <w:numPr>
          <w:ilvl w:val="1"/>
          <w:numId w:val="3"/>
        </w:numPr>
      </w:pPr>
      <w:r>
        <w:rPr>
          <w:b/>
          <w:bCs/>
        </w:rPr>
        <w:t xml:space="preserve">Step 1: Read the Credentials:</w:t>
      </w:r>
    </w:p>
    <w:p>
      <w:pPr>
        <w:numPr>
          <w:ilvl w:val="2"/>
          <w:numId w:val="3"/>
        </w:numPr>
      </w:pPr>
      <w:r>
        <w:t xml:space="preserve">The process reads Config\clientcreds.json to obtain the My Domain URL, Consumer Key, Consumer Secret and org alias.</w:t>
      </w:r>
    </w:p>
    <w:p>
      <w:pPr>
        <w:numPr>
          <w:ilvl w:val="2"/>
          <w:numId w:val="3"/>
        </w:numPr>
      </w:pPr>
      <w:r>
        <w:t xml:space="preserve">This file replaces the stored username and password. It is the only file that differs between UAT and Production.</w:t>
      </w:r>
    </w:p>
    <w:p>
      <w:pPr>
        <w:numPr>
          <w:ilvl w:val="1"/>
          <w:numId w:val="3"/>
        </w:numPr>
      </w:pPr>
      <w:r>
        <w:rPr>
          <w:b/>
          <w:bCs/>
        </w:rPr>
        <w:t xml:space="preserve">Step 2: Token Request:</w:t>
      </w:r>
    </w:p>
    <w:p>
      <w:pPr>
        <w:numPr>
          <w:ilvl w:val="2"/>
          <w:numId w:val="3"/>
        </w:numPr>
      </w:pPr>
      <w:r>
        <w:t xml:space="preserve">The process sends a token request to the org's token endpoint.</w:t>
      </w:r>
    </w:p>
    <w:p>
      <w:pPr>
        <w:numPr>
          <w:ilvl w:val="2"/>
          <w:numId w:val="3"/>
        </w:numPr>
      </w:pPr>
      <w:r>
        <w:rPr>
          <w:b/>
          <w:bCs/>
        </w:rPr>
        <w:t xml:space="preserve">Token Request  (POST https://&lt;My Domain URL&gt;/services/oauth2/token  grant_type=client_credentials  client_id=&lt;Consumer Key&gt;  client_secret=&lt;Consumer Secret&gt;)</w:t>
      </w:r>
    </w:p>
    <w:p>
      <w:pPr>
        <w:numPr>
          <w:ilvl w:val="1"/>
          <w:numId w:val="3"/>
        </w:numPr>
      </w:pPr>
      <w:r>
        <w:rPr>
          <w:b/>
          <w:bCs/>
        </w:rPr>
        <w:t xml:space="preserve">Step 3: Token Validation:</w:t>
      </w:r>
    </w:p>
    <w:p>
      <w:pPr>
        <w:numPr>
          <w:ilvl w:val="2"/>
          <w:numId w:val="3"/>
        </w:numPr>
      </w:pPr>
      <w:r>
        <w:t xml:space="preserve">Salesforce validates the credentials against the External Client App and returns an access token and the instance URL.</w:t>
      </w:r>
    </w:p>
    <w:p>
      <w:pPr>
        <w:numPr>
          <w:ilvl w:val="2"/>
          <w:numId w:val="3"/>
        </w:numPr>
      </w:pPr>
      <w:r>
        <w:t xml:space="preserve">The token is issued for the app's Run As user, not for the person running the load.</w:t>
      </w:r>
    </w:p>
    <w:p>
      <w:pPr>
        <w:numPr>
          <w:ilvl w:val="1"/>
          <w:numId w:val="3"/>
        </w:numPr>
      </w:pPr>
      <w:r>
        <w:rPr>
          <w:b/>
          <w:bCs/>
        </w:rPr>
        <w:t xml:space="preserve">Step 4: Token Reuse:</w:t>
      </w:r>
    </w:p>
    <w:p>
      <w:pPr>
        <w:numPr>
          <w:ilvl w:val="2"/>
          <w:numId w:val="3"/>
        </w:numPr>
      </w:pPr>
      <w:r>
        <w:t xml:space="preserve">The process stores the access token against the org alias so that all subsequent Salesforce CLI commands in the run use it. Every job in the run reuses that one token. Authentication happens once, before the jobs start, not once per job.</w:t>
      </w:r>
    </w:p>
    <w:p>
      <w:pPr>
        <w:numPr>
          <w:ilvl w:val="2"/>
          <w:numId w:val="3"/>
        </w:numPr>
      </w:pPr>
      <w:r>
        <w:t xml:space="preserve">If the token expires during a long run, the affected job requests a replacement and retries itself once. This is recovery, not a routine re-authentication, and it is recorded in the log.</w:t>
      </w:r>
    </w:p>
    <w:p>
      <w:pPr>
        <w:numPr>
          <w:ilvl w:val="0"/>
          <w:numId w:val="4"/>
        </w:numPr>
      </w:pPr>
      <w:r>
        <w:rPr>
          <w:b/>
          <w:bCs/>
        </w:rPr>
        <w:t xml:space="preserve">Key Security Features:</w:t>
      </w:r>
    </w:p>
    <w:p>
      <w:pPr>
        <w:numPr>
          <w:ilvl w:val="1"/>
          <w:numId w:val="4"/>
        </w:numPr>
      </w:pPr>
      <w:r>
        <w:rPr>
          <w:b/>
          <w:bCs/>
        </w:rPr>
        <w:t xml:space="preserve">No Stored User Credentials:</w:t>
      </w:r>
      <w:r>
        <w:t xml:space="preserve"> No user credentials are held in the load configuration. clientcreds.json replaces the stored username and password.</w:t>
      </w:r>
    </w:p>
    <w:p>
      <w:pPr>
        <w:numPr>
          <w:ilvl w:val="1"/>
          <w:numId w:val="4"/>
        </w:numPr>
      </w:pPr>
      <w:r>
        <w:rPr>
          <w:b/>
          <w:bCs/>
        </w:rPr>
        <w:t xml:space="preserve">No Interactive Login:</w:t>
      </w:r>
      <w:r>
        <w:t xml:space="preserve"> No sf org login step is required. The load process requests its own token from the External Client App at the start of the run.</w:t>
      </w:r>
    </w:p>
    <w:p>
      <w:pPr>
        <w:numPr>
          <w:ilvl w:val="1"/>
          <w:numId w:val="4"/>
        </w:numPr>
      </w:pPr>
      <w:r>
        <w:rPr>
          <w:b/>
          <w:bCs/>
        </w:rPr>
        <w:t xml:space="preserve">Run As User:</w:t>
      </w:r>
      <w:r>
        <w:t xml:space="preserve"> Every record inserted, updated or deleted by the load is created and audited against the Run As user, and the load can only access objects and fields that user is permitted to see.</w:t>
      </w:r>
    </w:p>
    <w:p>
      <w:pPr>
        <w:numPr>
          <w:ilvl w:val="1"/>
          <w:numId w:val="4"/>
        </w:numPr>
      </w:pPr>
      <w:r>
        <w:rPr>
          <w:b/>
          <w:bCs/>
        </w:rPr>
        <w:t xml:space="preserve">Key File Retired:</w:t>
      </w:r>
      <w:r>
        <w:t xml:space="preserve"> The Data Loader key file (dataLoader.key) is no longer used once the old authentication entries are removed, and can be retired in line with the key-handling policy.</w:t>
      </w:r>
    </w:p>
    <w:p>
      <w:r>
        <w:rPr>
          <w:b/>
          <w:bCs/>
        </w:rPr>
        <w:t xml:space="preserve">Key Stakeholders and Responsibilities:</w:t>
      </w:r>
    </w:p>
    <w:tbl>
      <w:tblPr>
        <w:tblW w:w="0" w:type="auto"/>
        <w:tblCellMar>
          <w:left w:w="0" w:type="dxa"/>
          <w:right w:w="0" w:type="dxa"/>
        </w:tblCellMar>
        <w:tblLook w:val="04A0" w:firstRow="1" w:lastRow="0" w:firstColumn="1" w:lastColumn="0" w:noHBand="0" w:noVBand="1"/>
      </w:tblPr>
      <w:tblGrid>
        <w:gridCol w:w="1767"/>
        <w:gridCol w:w="7593"/>
      </w:tblGrid>
      <w:tr w:rsidR="00AB6177" w:rsidRPr="00AB6177" w14:paraId="70A1E6E0" w14:textId="77777777">
        <w:trPr>
          <w:tblHeader/>
        </w:trPr>
        <w:tc>
          <w:tcPr>
            <w:tcW w:w="0" w:type="auto"/>
            <w:tcBorders>
              <w:top w:val="single" w:sz="6" w:space="0" w:color="auto"/>
              <w:left w:val="single" w:sz="6" w:space="0" w:color="auto"/>
              <w:bottom w:val="single" w:sz="6" w:space="0" w:color="auto"/>
              <w:right w:val="single" w:sz="6" w:space="0" w:color="auto"/>
            </w:tcBorders>
            <w:shd w:val="clear" w:color="auto" w:fill="F1F2F4"/>
            <w:tcMar>
              <w:top w:w="105" w:type="dxa"/>
              <w:left w:w="150" w:type="dxa"/>
              <w:bottom w:w="105" w:type="dxa"/>
              <w:right w:w="150" w:type="dxa"/>
            </w:tcMar>
            <w:hideMark/>
          </w:tcPr>
          <w:p>
            <w:r>
              <w:rPr>
                <w:b/>
                <w:bCs/>
              </w:rPr>
              <w:t xml:space="preserve">Stakeholder</w:t>
            </w:r>
          </w:p>
        </w:tc>
        <w:tc>
          <w:tcPr>
            <w:tcW w:w="0" w:type="auto"/>
            <w:tcBorders>
              <w:top w:val="single" w:sz="6" w:space="0" w:color="auto"/>
              <w:left w:val="single" w:sz="6" w:space="0" w:color="auto"/>
              <w:bottom w:val="single" w:sz="6" w:space="0" w:color="auto"/>
              <w:right w:val="single" w:sz="6" w:space="0" w:color="auto"/>
            </w:tcBorders>
            <w:shd w:val="clear" w:color="auto" w:fill="F1F2F4"/>
            <w:tcMar>
              <w:top w:w="105" w:type="dxa"/>
              <w:left w:w="150" w:type="dxa"/>
              <w:bottom w:w="105" w:type="dxa"/>
              <w:right w:w="150" w:type="dxa"/>
            </w:tcMar>
            <w:hideMark/>
          </w:tcPr>
          <w:p>
            <w:r>
              <w:rPr>
                <w:b/>
                <w:bCs/>
              </w:rPr>
              <w:t xml:space="preserve">Responsibilities</w:t>
            </w:r>
          </w:p>
        </w:tc>
      </w:tr>
      <w:tr w:rsidR="00AB6177" w:rsidRPr="00AB6177" w14:paraId="70A1E6E0" w14:textId="77777777">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r>
              <w:rPr>
                <w:b/>
                <w:bCs/>
              </w:rPr>
              <w:t xml:space="preserve">Server Team</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pPr>
              <w:numPr>
                <w:ilvl w:val="0"/>
                <w:numId w:val="5"/>
              </w:numPr>
            </w:pPr>
            <w:r>
              <w:t xml:space="preserve">Install the Salesforce CLI (sf) Windows x64 installer on the UAT server NLGTPTVAPP444.</w:t>
            </w:r>
          </w:p>
          <w:p>
            <w:pPr>
              <w:numPr>
                <w:ilvl w:val="0"/>
                <w:numId w:val="5"/>
              </w:numPr>
            </w:pPr>
            <w:r>
              <w:t xml:space="preserve">Verify the installation with sf --version.</w:t>
            </w:r>
          </w:p>
          <w:p>
            <w:pPr>
              <w:numPr>
                <w:ilvl w:val="0"/>
                <w:numId w:val="5"/>
              </w:numPr>
            </w:pPr>
            <w:r>
              <w:t xml:space="preserve">Confirm curl.exe is available on the server (where curl).</w:t>
            </w:r>
          </w:p>
          <w:p>
            <w:pPr>
              <w:numPr>
                <w:ilvl w:val="0"/>
                <w:numId w:val="5"/>
              </w:numPr>
            </w:pPr>
            <w:r>
              <w:t xml:space="preserve">Confirm outbound HTTPS (443) access from the server to the Salesforce My Domain URL.</w:t>
            </w:r>
          </w:p>
        </w:tc>
      </w:tr>
      <w:tr w:rsidR="00AB6177" w:rsidRPr="00AB6177" w14:paraId="7E7D53AC" w14:textId="77777777">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r>
              <w:rPr>
                <w:b/>
                <w:bCs/>
              </w:rPr>
              <w:t xml:space="preserve">Salesforce Team</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r>
              <w:t xml:space="preserve">- Salesforce Team will create the External Client App with the Client Credentials Flow enabled, assign a Run As user with the API Enabled permission, and provide the Consumer Key and Consumer Secret for clientcreds.json.</w:t>
            </w:r>
          </w:p>
        </w:tc>
      </w:tr>
      <w:tr w:rsidR="00AB6177" w:rsidRPr="00AB6177" w14:paraId="64AFD200" w14:textId="77777777">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r>
              <w:rPr>
                <w:b/>
                <w:bCs/>
              </w:rPr>
              <w:t xml:space="preserve">Security Team</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r>
              <w:t xml:space="preserve">- Review and approve the installation of the Salesforce CLI on the UAT server NLGTPTVAPP444.</w:t>
            </w:r>
          </w:p>
        </w:tc>
      </w:tr>
    </w:tbl>
    <w:p/>
    <w:p>
      <w:r>
        <w:rPr>
          <w:b/>
          <w:bCs/>
        </w:rPr>
        <w:t xml:space="preserve">Security</w:t>
      </w:r>
    </w:p>
    <w:tbl>
      <w:tblPr>
        <w:tblW w:w="11246" w:type="dxa"/>
        <w:tblCellMar>
          <w:left w:w="0" w:type="dxa"/>
          <w:right w:w="0" w:type="dxa"/>
        </w:tblCellMar>
        <w:tblLook w:val="04A0" w:firstRow="1" w:lastRow="0" w:firstColumn="1" w:lastColumn="0" w:noHBand="0" w:noVBand="1"/>
      </w:tblPr>
      <w:tblGrid>
        <w:gridCol w:w="1909"/>
        <w:gridCol w:w="3207"/>
        <w:gridCol w:w="6130"/>
      </w:tblGrid>
      <w:tr w:rsidR="00AB6177" w:rsidRPr="00AB6177" w14:paraId="780C8A72" w14:textId="77777777">
        <w:trPr>
          <w:tblHeader/>
        </w:trPr>
        <w:tc>
          <w:tcPr>
            <w:tcW w:w="0" w:type="auto"/>
            <w:tcBorders>
              <w:top w:val="single" w:sz="6" w:space="0" w:color="auto"/>
              <w:left w:val="single" w:sz="6" w:space="0" w:color="auto"/>
              <w:bottom w:val="single" w:sz="6" w:space="0" w:color="auto"/>
              <w:right w:val="single" w:sz="6" w:space="0" w:color="auto"/>
            </w:tcBorders>
            <w:shd w:val="clear" w:color="auto" w:fill="F1F2F4"/>
            <w:tcMar>
              <w:top w:w="105" w:type="dxa"/>
              <w:left w:w="150" w:type="dxa"/>
              <w:bottom w:w="105" w:type="dxa"/>
              <w:right w:w="150" w:type="dxa"/>
            </w:tcMar>
            <w:hideMark/>
          </w:tcPr>
          <w:p>
            <w:r>
              <w:rPr>
                <w:b/>
                <w:bCs/>
              </w:rPr>
              <w:t xml:space="preserve">Objective</w:t>
            </w:r>
          </w:p>
        </w:tc>
        <w:tc>
          <w:tcPr>
            <w:tcW w:w="0" w:type="auto"/>
            <w:tcBorders>
              <w:top w:val="single" w:sz="6" w:space="0" w:color="auto"/>
              <w:left w:val="single" w:sz="6" w:space="0" w:color="auto"/>
              <w:bottom w:val="single" w:sz="6" w:space="0" w:color="auto"/>
              <w:right w:val="single" w:sz="6" w:space="0" w:color="auto"/>
            </w:tcBorders>
            <w:shd w:val="clear" w:color="auto" w:fill="F1F2F4"/>
            <w:tcMar>
              <w:top w:w="105" w:type="dxa"/>
              <w:left w:w="150" w:type="dxa"/>
              <w:bottom w:w="105" w:type="dxa"/>
              <w:right w:w="150" w:type="dxa"/>
            </w:tcMar>
            <w:hideMark/>
          </w:tcPr>
          <w:p>
            <w:r>
              <w:rPr>
                <w:b/>
                <w:bCs/>
              </w:rPr>
              <w:t xml:space="preserve">Requirement</w:t>
            </w:r>
          </w:p>
        </w:tc>
        <w:tc>
          <w:tcPr>
            <w:tcW w:w="0" w:type="auto"/>
            <w:tcBorders>
              <w:top w:val="single" w:sz="6" w:space="0" w:color="auto"/>
              <w:left w:val="single" w:sz="6" w:space="0" w:color="auto"/>
              <w:bottom w:val="single" w:sz="6" w:space="0" w:color="auto"/>
              <w:right w:val="single" w:sz="6" w:space="0" w:color="auto"/>
            </w:tcBorders>
            <w:shd w:val="clear" w:color="auto" w:fill="F1F2F4"/>
            <w:tcMar>
              <w:top w:w="105" w:type="dxa"/>
              <w:left w:w="150" w:type="dxa"/>
              <w:bottom w:w="105" w:type="dxa"/>
              <w:right w:w="150" w:type="dxa"/>
            </w:tcMar>
            <w:hideMark/>
          </w:tcPr>
          <w:p>
            <w:r>
              <w:rPr>
                <w:b/>
                <w:bCs/>
              </w:rPr>
              <w:t xml:space="preserve">Narrative</w:t>
            </w:r>
          </w:p>
        </w:tc>
      </w:tr>
      <w:tr w:rsidR="00AB6177" w:rsidRPr="00AB6177" w14:paraId="780C8A72" w14:textId="77777777">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r>
              <w:t xml:space="preserve">Authentication</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r>
              <w:t xml:space="preserve">Create an External Client App in Salesforce with the Client Credentials Flow enabled.</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r>
              <w:t xml:space="preserve">The load process authenticates using the OAuth 2.0 Client Credentials Flow. No user name or password is involved, and no interactive login takes place.</w:t>
            </w:r>
          </w:p>
        </w:tc>
      </w:tr>
      <w:tr w:rsidR="00AB6177" w:rsidRPr="00AB6177" w14:paraId="7A644C22" w14:textId="77777777">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r>
              <w:t xml:space="preserve">API Security</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r>
              <w:t xml:space="preserve">Assign a Run As user to the Client Credentials Flow with the API Enabled permission.</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r>
              <w:t xml:space="preserve">The token is issued for the Run As user. The load can only access objects and fields that user is permitted to see, and every record inserted, updated or deleted is created and audited against that user.</w:t>
            </w:r>
          </w:p>
        </w:tc>
      </w:tr>
      <w:tr w:rsidR="00AB6177" w:rsidRPr="00AB6177" w14:paraId="7568AEAF" w14:textId="77777777">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r>
              <w:t xml:space="preserve">Encryption in Transit</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r>
              <w:t xml:space="preserve">Confirm outbound HTTPS (443) access from the server to the Salesforce My Domain URL.</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r>
              <w:t xml:space="preserve">The token request is sent to https://&lt;My Domain URL&gt;/services/oauth2/token.</w:t>
            </w:r>
          </w:p>
        </w:tc>
      </w:tr>
      <w:tr w:rsidR="00AB6177" w:rsidRPr="00AB6177" w14:paraId="4083F16C" w14:textId="77777777">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r>
              <w:t xml:space="preserve">External Access</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r>
              <w:t xml:space="preserve">No Login IP Ranges on the Run As user block the loader server's outbound IP.</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r>
              <w:t xml:space="preserve">IP Relaxation is set on the External Client App OAuth Policies. The login history of the Run As user is checked for any IP restriction failures.</w:t>
            </w:r>
          </w:p>
        </w:tc>
      </w:tr>
      <w:tr w:rsidR="00AB6177" w:rsidRPr="00AB6177" w14:paraId="1126B14E" w14:textId="77777777">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r>
              <w:t xml:space="preserve">External Data</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r>
              <w:t xml:space="preserve">Ensure the Run As user has read/write access to all objects and fields used by the loads.</w:t>
            </w:r>
          </w:p>
        </w:tc>
        <w:tc>
          <w:tcPr>
            <w:tcW w:w="0" w:type="auto"/>
            <w:tcBorders>
              <w:top w:val="single" w:sz="6" w:space="0" w:color="auto"/>
              <w:left w:val="single" w:sz="6" w:space="0" w:color="auto"/>
              <w:bottom w:val="single" w:sz="6" w:space="0" w:color="auto"/>
              <w:right w:val="single" w:sz="6" w:space="0" w:color="auto"/>
            </w:tcBorders>
            <w:tcMar>
              <w:top w:w="105" w:type="dxa"/>
              <w:left w:w="150" w:type="dxa"/>
              <w:bottom w:w="105" w:type="dxa"/>
              <w:right w:w="150" w:type="dxa"/>
            </w:tcMar>
            <w:hideMark/>
          </w:tcPr>
          <w:p>
            <w:r>
              <w:t xml:space="preserve">Each job returns a Salesforce job ID, with a success file and an error file written to the results folder. Source files are moved to the Archive folder after each job completes.</w:t>
            </w:r>
          </w:p>
        </w:tc>
      </w:tr>
    </w:tbl>
    <w:p/>
    <w:sectPr w:rsidR="00AB61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54F2C"/>
    <w:multiLevelType w:val="multilevel"/>
    <w:tmpl w:val="19BA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AC1352"/>
    <w:multiLevelType w:val="multilevel"/>
    <w:tmpl w:val="DF042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BD4C20"/>
    <w:multiLevelType w:val="multilevel"/>
    <w:tmpl w:val="36688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357E60"/>
    <w:multiLevelType w:val="multilevel"/>
    <w:tmpl w:val="D6947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C9D371A"/>
    <w:multiLevelType w:val="multilevel"/>
    <w:tmpl w:val="32C4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2088662">
    <w:abstractNumId w:val="0"/>
  </w:num>
  <w:num w:numId="2" w16cid:durableId="1430420663">
    <w:abstractNumId w:val="2"/>
  </w:num>
  <w:num w:numId="3" w16cid:durableId="1686899586">
    <w:abstractNumId w:val="1"/>
  </w:num>
  <w:num w:numId="4" w16cid:durableId="1535578862">
    <w:abstractNumId w:val="3"/>
  </w:num>
  <w:num w:numId="5" w16cid:durableId="18812825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177"/>
    <w:rsid w:val="00A10A14"/>
    <w:rsid w:val="00AB6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10BAC"/>
  <w15:chartTrackingRefBased/>
  <w15:docId w15:val="{AE4CC279-7AAA-4452-92A9-F2FBDBB8B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61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61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61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61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61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61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1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1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1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1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61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61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61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61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61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1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1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177"/>
    <w:rPr>
      <w:rFonts w:eastAsiaTheme="majorEastAsia" w:cstheme="majorBidi"/>
      <w:color w:val="272727" w:themeColor="text1" w:themeTint="D8"/>
    </w:rPr>
  </w:style>
  <w:style w:type="paragraph" w:styleId="Title">
    <w:name w:val="Title"/>
    <w:basedOn w:val="Normal"/>
    <w:next w:val="Normal"/>
    <w:link w:val="TitleChar"/>
    <w:uiPriority w:val="10"/>
    <w:qFormat/>
    <w:rsid w:val="00AB61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1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1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1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177"/>
    <w:pPr>
      <w:spacing w:before="160"/>
      <w:jc w:val="center"/>
    </w:pPr>
    <w:rPr>
      <w:i/>
      <w:iCs/>
      <w:color w:val="404040" w:themeColor="text1" w:themeTint="BF"/>
    </w:rPr>
  </w:style>
  <w:style w:type="character" w:customStyle="1" w:styleId="QuoteChar">
    <w:name w:val="Quote Char"/>
    <w:basedOn w:val="DefaultParagraphFont"/>
    <w:link w:val="Quote"/>
    <w:uiPriority w:val="29"/>
    <w:rsid w:val="00AB6177"/>
    <w:rPr>
      <w:i/>
      <w:iCs/>
      <w:color w:val="404040" w:themeColor="text1" w:themeTint="BF"/>
    </w:rPr>
  </w:style>
  <w:style w:type="paragraph" w:styleId="ListParagraph">
    <w:name w:val="List Paragraph"/>
    <w:basedOn w:val="Normal"/>
    <w:uiPriority w:val="34"/>
    <w:qFormat/>
    <w:rsid w:val="00AB6177"/>
    <w:pPr>
      <w:ind w:left="720"/>
      <w:contextualSpacing/>
    </w:pPr>
  </w:style>
  <w:style w:type="character" w:styleId="IntenseEmphasis">
    <w:name w:val="Intense Emphasis"/>
    <w:basedOn w:val="DefaultParagraphFont"/>
    <w:uiPriority w:val="21"/>
    <w:qFormat/>
    <w:rsid w:val="00AB6177"/>
    <w:rPr>
      <w:i/>
      <w:iCs/>
      <w:color w:val="0F4761" w:themeColor="accent1" w:themeShade="BF"/>
    </w:rPr>
  </w:style>
  <w:style w:type="paragraph" w:styleId="IntenseQuote">
    <w:name w:val="Intense Quote"/>
    <w:basedOn w:val="Normal"/>
    <w:next w:val="Normal"/>
    <w:link w:val="IntenseQuoteChar"/>
    <w:uiPriority w:val="30"/>
    <w:qFormat/>
    <w:rsid w:val="00AB61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6177"/>
    <w:rPr>
      <w:i/>
      <w:iCs/>
      <w:color w:val="0F4761" w:themeColor="accent1" w:themeShade="BF"/>
    </w:rPr>
  </w:style>
  <w:style w:type="character" w:styleId="IntenseReference">
    <w:name w:val="Intense Reference"/>
    <w:basedOn w:val="DefaultParagraphFont"/>
    <w:uiPriority w:val="32"/>
    <w:qFormat/>
    <w:rsid w:val="00AB6177"/>
    <w:rPr>
      <w:b/>
      <w:bCs/>
      <w:smallCaps/>
      <w:color w:val="0F4761" w:themeColor="accent1" w:themeShade="BF"/>
      <w:spacing w:val="5"/>
    </w:rPr>
  </w:style>
  <w:style w:type="character" w:styleId="Hyperlink">
    <w:name w:val="Hyperlink"/>
    <w:basedOn w:val="DefaultParagraphFont"/>
    <w:uiPriority w:val="99"/>
    <w:unhideWhenUsed/>
    <w:rsid w:val="00AB6177"/>
    <w:rPr>
      <w:color w:val="467886" w:themeColor="hyperlink"/>
      <w:u w:val="single"/>
    </w:rPr>
  </w:style>
  <w:style w:type="character" w:styleId="UnresolvedMention">
    <w:name w:val="Unresolved Mention"/>
    <w:basedOn w:val="DefaultParagraphFont"/>
    <w:uiPriority w:val="99"/>
    <w:semiHidden/>
    <w:unhideWhenUsed/>
    <w:rsid w:val="00AB61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salesforce.com/docs/atlas.en-us.sfdx_dev.meta/sfdx_dev/sfdx_dev_auth_jwt_flow.htm" TargetMode="External"/><Relationship Id="rId5" Type="http://schemas.openxmlformats.org/officeDocument/2006/relationships/hyperlink" Target="https://jira.nationallife.com/browse/ARBPRC-298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1255</Words>
  <Characters>7160</Characters>
  <Application>Microsoft Office Word</Application>
  <DocSecurity>0</DocSecurity>
  <Lines>59</Lines>
  <Paragraphs>16</Paragraphs>
  <ScaleCrop>false</ScaleCrop>
  <Company>National Life Group</Company>
  <LinksUpToDate>false</LinksUpToDate>
  <CharactersWithSpaces>8399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Kanthimathinathan, Sivakami</dc:creator>
  <cp:keywords/>
  <dc:description/>
  <cp:lastModifiedBy>Kanthimathinathan, Sivakami</cp:lastModifiedBy>
  <cp:revision>1</cp:revision>
  <dcterms:created xsi:type="dcterms:W3CDTF">2026-10-01T11:59:00Z</dcterms:created>
  <dcterms:modified xsi:type="dcterms:W3CDTF">2026-10-01T12:00:00Z</dcterms:modified>
</cp:coreProperties>
</file>