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A9F705" w14:textId="77777777" w:rsidR="00EE2207" w:rsidRDefault="00EE2207"/>
    <w:p w14:paraId="3C764179" w14:textId="77777777" w:rsidR="00EE2207" w:rsidRDefault="00EE2207"/>
    <w:p w14:paraId="1FBAA3D0" w14:textId="77777777" w:rsidR="00EE2207" w:rsidRDefault="00EE2207"/>
    <w:p w14:paraId="562B28C5" w14:textId="77777777" w:rsidR="00EE2207" w:rsidRDefault="00EE2207"/>
    <w:p w14:paraId="50C7EEF9" w14:textId="77777777" w:rsidR="00EE2207" w:rsidRDefault="00000000">
      <w:pPr>
        <w:spacing w:before="120" w:after="320"/>
        <w:jc w:val="center"/>
      </w:pPr>
      <w:r>
        <w:rPr>
          <w:b/>
          <w:color w:val="000000"/>
          <w:sz w:val="36"/>
        </w:rPr>
        <w:t>Explainable, Safety-Aware Fall-Risk Prediction from Smart-Ring Data</w:t>
      </w:r>
    </w:p>
    <w:p w14:paraId="2127A565" w14:textId="691543A7" w:rsidR="00EE2207" w:rsidRDefault="00000000" w:rsidP="00FA3835">
      <w:pPr>
        <w:spacing w:line="360" w:lineRule="auto"/>
        <w:jc w:val="center"/>
      </w:pPr>
      <w:r>
        <w:rPr>
          <w:color w:val="000000"/>
        </w:rPr>
        <w:t xml:space="preserve">A project report submitted in partial </w:t>
      </w:r>
      <w:r w:rsidR="005016C8">
        <w:rPr>
          <w:color w:val="000000"/>
        </w:rPr>
        <w:t>fulfilment</w:t>
      </w:r>
    </w:p>
    <w:p w14:paraId="0900CC7E" w14:textId="77777777" w:rsidR="00EE2207" w:rsidRDefault="00000000" w:rsidP="00FA3835">
      <w:pPr>
        <w:spacing w:line="360" w:lineRule="auto"/>
        <w:jc w:val="center"/>
        <w:rPr>
          <w:color w:val="000000"/>
        </w:rPr>
      </w:pPr>
      <w:r>
        <w:rPr>
          <w:color w:val="000000"/>
        </w:rPr>
        <w:t>of the requirements for the degree of</w:t>
      </w:r>
    </w:p>
    <w:p w14:paraId="37050599" w14:textId="77777777" w:rsidR="00FA3835" w:rsidRDefault="00FA3835" w:rsidP="00FA3835">
      <w:pPr>
        <w:spacing w:line="360" w:lineRule="auto"/>
        <w:jc w:val="center"/>
      </w:pPr>
    </w:p>
    <w:p w14:paraId="7EB1A51B" w14:textId="77777777" w:rsidR="00EE2207" w:rsidRDefault="00000000" w:rsidP="00FA3835">
      <w:pPr>
        <w:spacing w:line="360" w:lineRule="auto"/>
        <w:jc w:val="center"/>
      </w:pPr>
      <w:r>
        <w:rPr>
          <w:color w:val="000000"/>
          <w:sz w:val="28"/>
          <w:szCs w:val="28"/>
        </w:rPr>
        <w:t>Bachelor of Technology</w:t>
      </w:r>
    </w:p>
    <w:p w14:paraId="00180AE0" w14:textId="77777777" w:rsidR="00EE2207" w:rsidRDefault="00000000" w:rsidP="00FA3835">
      <w:pPr>
        <w:spacing w:line="360" w:lineRule="auto"/>
        <w:jc w:val="center"/>
      </w:pPr>
      <w:r>
        <w:rPr>
          <w:color w:val="000000"/>
        </w:rPr>
        <w:t>in</w:t>
      </w:r>
    </w:p>
    <w:p w14:paraId="3565F5D6" w14:textId="7AB01472" w:rsidR="00EE2207" w:rsidRDefault="00000000" w:rsidP="00FA3835">
      <w:pPr>
        <w:spacing w:line="360" w:lineRule="auto"/>
        <w:jc w:val="center"/>
      </w:pPr>
      <w:r>
        <w:rPr>
          <w:color w:val="000000"/>
          <w:sz w:val="28"/>
          <w:szCs w:val="28"/>
        </w:rPr>
        <w:t xml:space="preserve">Electronics </w:t>
      </w:r>
      <w:r w:rsidR="005016C8">
        <w:rPr>
          <w:color w:val="000000"/>
          <w:sz w:val="28"/>
          <w:szCs w:val="28"/>
        </w:rPr>
        <w:t>and</w:t>
      </w:r>
      <w:r>
        <w:rPr>
          <w:color w:val="000000"/>
          <w:sz w:val="28"/>
          <w:szCs w:val="28"/>
        </w:rPr>
        <w:t xml:space="preserve"> Com</w:t>
      </w:r>
      <w:r w:rsidR="007B6D42">
        <w:rPr>
          <w:color w:val="000000"/>
          <w:sz w:val="28"/>
          <w:szCs w:val="28"/>
        </w:rPr>
        <w:t>puter</w:t>
      </w:r>
      <w:r>
        <w:rPr>
          <w:color w:val="000000"/>
          <w:sz w:val="28"/>
          <w:szCs w:val="28"/>
        </w:rPr>
        <w:t xml:space="preserve"> Engineering</w:t>
      </w:r>
    </w:p>
    <w:p w14:paraId="2394F101" w14:textId="77777777" w:rsidR="00EE2207" w:rsidRDefault="00000000" w:rsidP="00FA3835">
      <w:pPr>
        <w:spacing w:line="360" w:lineRule="auto"/>
        <w:jc w:val="center"/>
      </w:pPr>
      <w:r>
        <w:rPr>
          <w:i/>
          <w:iCs/>
          <w:color w:val="000000"/>
        </w:rPr>
        <w:t>by</w:t>
      </w:r>
    </w:p>
    <w:p w14:paraId="23EE87CF" w14:textId="77777777" w:rsidR="00EE2207" w:rsidRDefault="00000000" w:rsidP="00FA3835">
      <w:pPr>
        <w:spacing w:line="360" w:lineRule="auto"/>
        <w:jc w:val="center"/>
      </w:pPr>
      <w:r>
        <w:rPr>
          <w:color w:val="000000"/>
        </w:rPr>
        <w:t>G SIVAKUMAR</w:t>
      </w:r>
    </w:p>
    <w:p w14:paraId="10DCDEE1" w14:textId="59C58F4F" w:rsidR="00EE2207" w:rsidRDefault="00000000" w:rsidP="00FA3835">
      <w:pPr>
        <w:spacing w:line="360" w:lineRule="auto"/>
        <w:jc w:val="center"/>
        <w:rPr>
          <w:color w:val="000000"/>
        </w:rPr>
      </w:pPr>
      <w:r>
        <w:rPr>
          <w:color w:val="000000"/>
        </w:rPr>
        <w:t>23BCE1834</w:t>
      </w:r>
    </w:p>
    <w:p w14:paraId="23EE87CF" w14:textId="77777777" w:rsidR="00EE2207" w:rsidRDefault="00000000" w:rsidP="00FA3835">
      <w:pPr>
        <w:spacing w:line="360" w:lineRule="auto"/>
        <w:jc w:val="center"/>
      </w:pPr>
      <w:r>
        <w:rPr>
          <w:color w:val="000000"/>
        </w:rPr>
        <w:t>KRITI SAHANA V</w:t>
      </w:r>
    </w:p>
    <w:p w14:paraId="10DCDEE1" w14:textId="59C58F4F" w:rsidR="00EE2207" w:rsidRDefault="00000000" w:rsidP="00FA3835">
      <w:pPr>
        <w:spacing w:line="360" w:lineRule="auto"/>
        <w:jc w:val="center"/>
        <w:rPr>
          <w:color w:val="000000"/>
        </w:rPr>
      </w:pPr>
      <w:r>
        <w:rPr>
          <w:color w:val="000000"/>
        </w:rPr>
        <w:t>23BCE1868</w:t>
      </w:r>
    </w:p>
    <w:p w14:paraId="4D4F447D" w14:textId="77777777" w:rsidR="005016C8" w:rsidRDefault="005016C8">
      <w:pPr>
        <w:spacing w:after="200"/>
        <w:jc w:val="center"/>
        <w:rPr>
          <w:color w:val="000000"/>
        </w:rPr>
      </w:pPr>
    </w:p>
    <w:p w14:paraId="1B4BC058" w14:textId="77777777" w:rsidR="005016C8" w:rsidRDefault="005016C8">
      <w:pPr>
        <w:spacing w:after="200"/>
        <w:jc w:val="center"/>
      </w:pPr>
    </w:p>
    <w:p w14:paraId="6EB94964" w14:textId="77777777" w:rsidR="0099004A" w:rsidRDefault="0099004A">
      <w:pPr>
        <w:spacing w:after="60"/>
        <w:jc w:val="center"/>
        <w:rPr>
          <w:color w:val="000000"/>
        </w:rPr>
      </w:pPr>
      <w:r>
        <w:rPr>
          <w:noProof/>
          <w:color w:val="000000"/>
        </w:rPr>
        <w:drawing>
          <wp:inline distT="0" distB="0" distL="0" distR="0" wp14:anchorId="5ACAD773" wp14:editId="1DEE5C0C">
            <wp:extent cx="2631440" cy="751840"/>
            <wp:effectExtent l="0" t="0" r="0" b="0"/>
            <wp:docPr id="195730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0935" name="Picture 195730935"/>
                    <pic:cNvPicPr/>
                  </pic:nvPicPr>
                  <pic:blipFill>
                    <a:blip r:embed="rId7">
                      <a:extLst>
                        <a:ext uri="{28A0092B-C50C-407E-A947-70E740481C1C}">
                          <a14:useLocalDpi xmlns:a14="http://schemas.microsoft.com/office/drawing/2010/main" val="0"/>
                        </a:ext>
                      </a:extLst>
                    </a:blip>
                    <a:stretch>
                      <a:fillRect/>
                    </a:stretch>
                  </pic:blipFill>
                  <pic:spPr>
                    <a:xfrm>
                      <a:off x="0" y="0"/>
                      <a:ext cx="2697811" cy="770803"/>
                    </a:xfrm>
                    <a:prstGeom prst="rect">
                      <a:avLst/>
                    </a:prstGeom>
                  </pic:spPr>
                </pic:pic>
              </a:graphicData>
            </a:graphic>
          </wp:inline>
        </w:drawing>
      </w:r>
    </w:p>
    <w:p w14:paraId="4C8C0F04" w14:textId="3528BA8E" w:rsidR="00EE2207" w:rsidRDefault="00000000">
      <w:pPr>
        <w:spacing w:after="60"/>
        <w:jc w:val="center"/>
      </w:pPr>
      <w:r>
        <w:rPr>
          <w:color w:val="000000"/>
        </w:rPr>
        <w:t>School of Electronics Engineering</w:t>
      </w:r>
    </w:p>
    <w:p w14:paraId="3428EF96" w14:textId="7689B7EB" w:rsidR="00EE2207" w:rsidRDefault="00000000">
      <w:pPr>
        <w:spacing w:after="60"/>
        <w:jc w:val="center"/>
      </w:pPr>
      <w:r>
        <w:rPr>
          <w:color w:val="000000"/>
        </w:rPr>
        <w:t>Vellore Institute of Technology, Chennai</w:t>
      </w:r>
    </w:p>
    <w:p w14:paraId="217C0CE2" w14:textId="7FCA70A2" w:rsidR="00EE2207" w:rsidRDefault="00000000">
      <w:pPr>
        <w:spacing w:after="60"/>
        <w:jc w:val="center"/>
      </w:pPr>
      <w:proofErr w:type="spellStart"/>
      <w:r>
        <w:rPr>
          <w:color w:val="000000"/>
        </w:rPr>
        <w:t>Vandalur</w:t>
      </w:r>
      <w:proofErr w:type="spellEnd"/>
      <w:r w:rsidR="005016C8">
        <w:rPr>
          <w:color w:val="000000"/>
        </w:rPr>
        <w:t xml:space="preserve"> </w:t>
      </w:r>
      <w:r>
        <w:rPr>
          <w:color w:val="000000"/>
        </w:rPr>
        <w:t>-</w:t>
      </w:r>
      <w:r w:rsidR="005016C8">
        <w:rPr>
          <w:color w:val="000000"/>
        </w:rPr>
        <w:t xml:space="preserve"> </w:t>
      </w:r>
      <w:proofErr w:type="spellStart"/>
      <w:r>
        <w:rPr>
          <w:color w:val="000000"/>
        </w:rPr>
        <w:t>Kelambakkam</w:t>
      </w:r>
      <w:proofErr w:type="spellEnd"/>
      <w:r>
        <w:rPr>
          <w:color w:val="000000"/>
        </w:rPr>
        <w:t xml:space="preserve"> Road</w:t>
      </w:r>
    </w:p>
    <w:p w14:paraId="2F070734" w14:textId="144FF39C" w:rsidR="00EE2207" w:rsidRDefault="00000000">
      <w:pPr>
        <w:spacing w:after="160"/>
        <w:jc w:val="center"/>
        <w:rPr>
          <w:color w:val="000000"/>
        </w:rPr>
      </w:pPr>
      <w:r>
        <w:rPr>
          <w:color w:val="000000"/>
        </w:rPr>
        <w:t>Chennai – 600127, India</w:t>
      </w:r>
    </w:p>
    <w:p w14:paraId="12093360" w14:textId="77777777" w:rsidR="00FA3835" w:rsidRDefault="00FA3835">
      <w:pPr>
        <w:spacing w:after="160"/>
        <w:jc w:val="center"/>
        <w:rPr>
          <w:color w:val="000000"/>
        </w:rPr>
      </w:pPr>
    </w:p>
    <w:p w14:paraId="7A40756D" w14:textId="77777777" w:rsidR="00FA3835" w:rsidRDefault="00FA3835">
      <w:pPr>
        <w:spacing w:after="160"/>
        <w:jc w:val="center"/>
        <w:rPr>
          <w:color w:val="000000"/>
        </w:rPr>
      </w:pPr>
    </w:p>
    <w:p w14:paraId="29D95167" w14:textId="77777777" w:rsidR="00FA3835" w:rsidRDefault="00FA3835">
      <w:pPr>
        <w:spacing w:after="160"/>
        <w:jc w:val="center"/>
      </w:pPr>
    </w:p>
    <w:p w14:paraId="3BAC2C35" w14:textId="6C253F7E" w:rsidR="00EE2207" w:rsidRDefault="00E1558C">
      <w:pPr>
        <w:spacing w:before="80" w:after="160"/>
        <w:jc w:val="center"/>
        <w:sectPr w:rsidR="008C08FF">
          <w:footerReference w:type="default" r:id="rId15"/>
          <w:pgSz w:w="11906" w:h="16838"/>
          <w:pgMar w:top="1440" w:right="1440" w:bottom="1440" w:left="1800" w:header="708" w:footer="708" w:gutter="0"/>
          <w:cols w:space="720"/>
          <w:docGrid w:linePitch="360"/>
        </w:sectPr>
      </w:pPr>
      <w:r>
        <w:rPr>
          <w:color w:val="000000"/>
        </w:rPr>
        <w:t>October 2026</w:t>
      </w:r>
    </w:p>
    <w:p w14:paraId="53DAA4D6" w14:textId="77777777" w:rsidR="00EE2207" w:rsidRDefault="00EE2207"/>
    <w:p w14:paraId="05F288BA" w14:textId="77777777" w:rsidR="00EE2207" w:rsidRDefault="00EE2207"/>
    <w:p w14:paraId="566FFF2C" w14:textId="77777777" w:rsidR="0099004A" w:rsidRDefault="0099004A" w:rsidP="000B1220">
      <w:pPr>
        <w:spacing w:before="120" w:after="120"/>
        <w:jc w:val="center"/>
        <w:rPr>
          <w:b/>
          <w:bCs/>
          <w:color w:val="000000"/>
          <w:sz w:val="32"/>
          <w:szCs w:val="32"/>
        </w:rPr>
      </w:pPr>
      <w:r>
        <w:rPr>
          <w:b/>
          <w:bCs/>
          <w:noProof/>
          <w:color w:val="000000"/>
          <w:sz w:val="32"/>
          <w:szCs w:val="32"/>
        </w:rPr>
        <w:drawing>
          <wp:inline distT="0" distB="0" distL="0" distR="0" wp14:anchorId="1545026C" wp14:editId="0B179D19">
            <wp:extent cx="2462530" cy="703580"/>
            <wp:effectExtent l="0" t="0" r="0" b="0"/>
            <wp:docPr id="854119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9966" name="Picture 8541199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5948" cy="713128"/>
                    </a:xfrm>
                    <a:prstGeom prst="rect">
                      <a:avLst/>
                    </a:prstGeom>
                  </pic:spPr>
                </pic:pic>
              </a:graphicData>
            </a:graphic>
          </wp:inline>
        </w:drawing>
      </w:r>
    </w:p>
    <w:p w14:paraId="1F5646AC" w14:textId="77777777" w:rsidR="000B1220" w:rsidRDefault="000B1220" w:rsidP="000B1220">
      <w:pPr>
        <w:spacing w:after="60"/>
        <w:jc w:val="center"/>
      </w:pPr>
      <w:r>
        <w:rPr>
          <w:b/>
          <w:bCs/>
          <w:color w:val="000000"/>
          <w:sz w:val="28"/>
          <w:szCs w:val="28"/>
        </w:rPr>
        <w:t>School of Electronics Engineering</w:t>
      </w:r>
    </w:p>
    <w:p w14:paraId="30253086" w14:textId="6E874507" w:rsidR="00EE2207" w:rsidRDefault="00000000">
      <w:pPr>
        <w:spacing w:before="80" w:after="400"/>
        <w:jc w:val="center"/>
      </w:pPr>
      <w:r>
        <w:rPr>
          <w:b/>
          <w:bCs/>
          <w:color w:val="000000"/>
          <w:sz w:val="32"/>
          <w:szCs w:val="32"/>
        </w:rPr>
        <w:t>Declaration</w:t>
      </w:r>
    </w:p>
    <w:p w14:paraId="1DC35A40" w14:textId="12068BC7" w:rsidR="00EE2207" w:rsidRDefault="00FA40DB">
      <w:pPr>
        <w:spacing w:after="200" w:line="360" w:lineRule="auto"/>
        <w:jc w:val="both"/>
      </w:pPr>
      <w:r>
        <w:rPr>
          <w:color w:val="000000"/>
        </w:rPr>
        <w:t xml:space="preserve">We hereby declare that the report titled </w:t>
      </w:r>
      <w:r>
        <w:rPr>
          <w:b/>
          <w:color w:val="000000"/>
        </w:rPr>
        <w:t>“Explainable, Safety-Aware Fall-Risk Prediction from Smart-Ring Data”</w:t>
      </w:r>
      <w:r>
        <w:rPr>
          <w:color w:val="000000"/>
        </w:rPr>
        <w:t xml:space="preserve"> submitted by us to the School of Electronics Engineering, Vellore Institute of Technology, Chennai, in partial fulfilment of the requirements for the award of </w:t>
      </w:r>
      <w:r>
        <w:rPr>
          <w:b/>
          <w:color w:val="000000"/>
        </w:rPr>
        <w:t>Bachelor of Technology</w:t>
      </w:r>
      <w:r>
        <w:rPr>
          <w:color w:val="000000"/>
        </w:rPr>
        <w:t xml:space="preserve"> in </w:t>
      </w:r>
      <w:r>
        <w:rPr>
          <w:b/>
          <w:color w:val="000000"/>
        </w:rPr>
        <w:t>Electronics and Computer Engineering</w:t>
      </w:r>
      <w:r>
        <w:rPr>
          <w:color w:val="000000"/>
        </w:rPr>
        <w:t xml:space="preserve">, is a bonafide record of the work carried out by us under the supervision of </w:t>
      </w:r>
      <w:r>
        <w:rPr>
          <w:b/>
          <w:color w:val="000000"/>
        </w:rPr>
        <w:t>Dr. Sheena Christabel Pravin</w:t>
      </w:r>
      <w:r>
        <w:rPr>
          <w:color w:val="000000"/>
        </w:rPr>
        <w:t>.</w:t>
      </w:r>
    </w:p>
    <w:p w14:paraId="6A6A0D5C" w14:textId="3704A85A" w:rsidR="00EE2207" w:rsidRDefault="00FA40DB">
      <w:pPr>
        <w:spacing w:after="400" w:line="360" w:lineRule="auto"/>
        <w:jc w:val="both"/>
      </w:pPr>
      <w:r>
        <w:rPr>
          <w:color w:val="000000"/>
        </w:rPr>
        <w:t>We further declare that the work reported in this report has not been submitted and will not be submitted, either in part or in full, for the award of any other degree or diploma of this institute or of any other institute or University.</w:t>
      </w:r>
    </w:p>
    <w:p w14:paraId="018F6089" w14:textId="4039058C" w:rsidR="00EE2207" w:rsidRPr="000B1220" w:rsidRDefault="00000000">
      <w:pPr>
        <w:spacing w:before="160" w:after="120"/>
      </w:pPr>
      <w:r>
        <w:rPr>
          <w:color w:val="000000"/>
        </w:rPr>
        <w:t>Signature of the Students:</w:t>
      </w:r>
    </w:p>
    <w:p w14:paraId="747720A3" w14:textId="685F91A7" w:rsidR="00EE2207" w:rsidRPr="000B1220" w:rsidRDefault="00000000">
      <w:pPr>
        <w:spacing w:before="160" w:after="120"/>
      </w:pPr>
      <w:r>
        <w:rPr>
          <w:color w:val="000000"/>
        </w:rPr>
        <w:t>Names and Reg. Nos.: G SIVAKUMAR (23BCE1834), KRITI SAHANA V (23BCE1868)</w:t>
      </w:r>
    </w:p>
    <w:p w14:paraId="192C0840" w14:textId="21B7D73C" w:rsidR="00EE2207" w:rsidRDefault="00000000">
      <w:pPr>
        <w:spacing w:before="160" w:after="120"/>
        <w:rPr>
          <w:color w:val="000000"/>
        </w:rPr>
      </w:pPr>
      <w:r w:rsidRPr="000B1220">
        <w:rPr>
          <w:color w:val="000000"/>
        </w:rPr>
        <w:t>Date:</w:t>
      </w:r>
      <w:r w:rsidR="000B1220">
        <w:rPr>
          <w:color w:val="000000"/>
        </w:rPr>
        <w:tab/>
        <w:t>․․․․․․․․․․․․․․․․․․․․․․</w:t>
      </w:r>
    </w:p>
    <w:p w14:paraId="01E83685" w14:textId="77777777" w:rsidR="00EE2207" w:rsidRDefault="00EE2207">
      <w:pPr>
        <w:pageBreakBefore/>
      </w:pPr>
    </w:p>
    <w:p w14:paraId="44802BDC" w14:textId="77777777" w:rsidR="00EE2207" w:rsidRDefault="00EE2207"/>
    <w:p w14:paraId="3F2C05B0" w14:textId="77777777" w:rsidR="0099004A" w:rsidRDefault="0099004A">
      <w:pPr>
        <w:spacing w:after="60"/>
        <w:jc w:val="center"/>
        <w:rPr>
          <w:b/>
          <w:bCs/>
          <w:color w:val="000000"/>
          <w:sz w:val="28"/>
          <w:szCs w:val="28"/>
        </w:rPr>
      </w:pPr>
      <w:r>
        <w:rPr>
          <w:b/>
          <w:bCs/>
          <w:noProof/>
          <w:color w:val="000000"/>
          <w:sz w:val="28"/>
          <w:szCs w:val="28"/>
        </w:rPr>
        <w:drawing>
          <wp:inline distT="0" distB="0" distL="0" distR="0" wp14:anchorId="7B537539" wp14:editId="185FC5C4">
            <wp:extent cx="2443480" cy="698137"/>
            <wp:effectExtent l="0" t="0" r="0" b="635"/>
            <wp:docPr id="14425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245" name="Picture 1442532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4533" cy="718438"/>
                    </a:xfrm>
                    <a:prstGeom prst="rect">
                      <a:avLst/>
                    </a:prstGeom>
                  </pic:spPr>
                </pic:pic>
              </a:graphicData>
            </a:graphic>
          </wp:inline>
        </w:drawing>
      </w:r>
    </w:p>
    <w:p w14:paraId="47EA9259" w14:textId="099F4BCF" w:rsidR="00EE2207" w:rsidRDefault="00000000">
      <w:pPr>
        <w:spacing w:after="60"/>
        <w:jc w:val="center"/>
      </w:pPr>
      <w:r>
        <w:rPr>
          <w:b/>
          <w:bCs/>
          <w:color w:val="000000"/>
          <w:sz w:val="28"/>
          <w:szCs w:val="28"/>
        </w:rPr>
        <w:t>School of Electronics Engineering</w:t>
      </w:r>
    </w:p>
    <w:p w14:paraId="0CFD34EE" w14:textId="77777777" w:rsidR="00EE2207" w:rsidRDefault="00000000">
      <w:pPr>
        <w:spacing w:before="80" w:after="320"/>
        <w:jc w:val="center"/>
      </w:pPr>
      <w:r>
        <w:rPr>
          <w:b/>
          <w:bCs/>
          <w:color w:val="000000"/>
          <w:sz w:val="32"/>
          <w:szCs w:val="32"/>
        </w:rPr>
        <w:t>Certificate</w:t>
      </w:r>
    </w:p>
    <w:p w14:paraId="68E444B5" w14:textId="02D99A64" w:rsidR="00EE2207" w:rsidRDefault="00000000">
      <w:pPr>
        <w:spacing w:after="360" w:line="360" w:lineRule="auto"/>
        <w:jc w:val="both"/>
      </w:pPr>
      <w:r>
        <w:rPr>
          <w:color w:val="000000"/>
        </w:rPr>
        <w:t xml:space="preserve">This is to certify that the project report titled </w:t>
      </w:r>
      <w:r>
        <w:rPr>
          <w:b/>
          <w:color w:val="000000"/>
        </w:rPr>
        <w:t>“Explainable, Safety-Aware Fall-Risk Prediction from Smart-Ring Data”</w:t>
      </w:r>
      <w:r>
        <w:rPr>
          <w:color w:val="000000"/>
        </w:rPr>
        <w:t xml:space="preserve"> submitted by G SIVAKUMAR (23BCE1834) and KRITI SAHANA V (23BCE1868) to Vellore Institute of Technology, Chennai, in partial fulfilment of the requirement for the award of the degree of </w:t>
      </w:r>
      <w:r>
        <w:rPr>
          <w:b/>
          <w:color w:val="000000"/>
        </w:rPr>
        <w:t>Bachelor of Technology</w:t>
      </w:r>
      <w:r>
        <w:rPr>
          <w:color w:val="000000"/>
        </w:rPr>
        <w:t xml:space="preserve"> in </w:t>
      </w:r>
      <w:r>
        <w:rPr>
          <w:b/>
          <w:color w:val="000000"/>
        </w:rPr>
        <w:t>Electronics and Computer Engineering</w:t>
      </w:r>
      <w:r>
        <w:rPr>
          <w:color w:val="000000"/>
        </w:rPr>
        <w:t xml:space="preserve"> is a bonafide work carried out under my supervision. The project report fulfils the requirements as per the regulations of this University and, in my opinion, meets the necessary standards for submission. The contents of this report have not been submitted and will not be submitted either in full or in part, for the award of any other degree or diploma and the same is certified.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3"/>
        <w:gridCol w:w="4333"/>
      </w:tblGrid>
      <w:tr w:rsidR="00EE2207" w14:paraId="48FD9CC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82CC114" w14:textId="77777777" w:rsidR="00EE2207" w:rsidRDefault="00000000">
            <w:pPr>
              <w:spacing w:after="160"/>
            </w:pPr>
            <w:r>
              <w:rPr>
                <w:b/>
                <w:bCs/>
                <w:color w:val="000000"/>
              </w:rPr>
              <w:t>Supervisor</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7F7D045" w14:textId="77777777" w:rsidR="00EE2207" w:rsidRDefault="00000000">
            <w:pPr>
              <w:spacing w:after="160"/>
            </w:pPr>
            <w:r>
              <w:rPr>
                <w:b/>
                <w:bCs/>
                <w:color w:val="000000"/>
              </w:rPr>
              <w:t>Head of the Department</w:t>
            </w:r>
          </w:p>
        </w:tc>
      </w:tr>
      <w:tr w:rsidR="00EE2207" w14:paraId="2B603E66"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74D44A" w14:textId="77777777" w:rsidR="00EE2207" w:rsidRDefault="00000000">
            <w:pPr>
              <w:spacing w:before="100" w:after="80"/>
            </w:pPr>
            <w:r>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00EBBB" w14:textId="77777777" w:rsidR="00EE2207" w:rsidRDefault="00000000">
            <w:pPr>
              <w:spacing w:before="100" w:after="80"/>
            </w:pPr>
            <w:r>
              <w:rPr>
                <w:color w:val="000000"/>
              </w:rPr>
              <w:t>Signature:  ․․․․․․․․․․․․․․․․․․․․․․</w:t>
            </w:r>
          </w:p>
        </w:tc>
      </w:tr>
      <w:tr w:rsidR="00EE2207" w14:paraId="54CD947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46A440" w14:textId="77777777" w:rsidR="00EE2207" w:rsidRDefault="00000000">
            <w:pPr>
              <w:spacing w:before="100" w:after="80"/>
            </w:pPr>
            <w:r>
              <w:rPr>
                <w:color w:val="000000"/>
              </w:rPr>
              <w:t>Name: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F17F2E1" w14:textId="77777777" w:rsidR="00EE2207" w:rsidRDefault="00000000">
            <w:pPr>
              <w:spacing w:before="100" w:after="80"/>
            </w:pPr>
            <w:r>
              <w:rPr>
                <w:color w:val="000000"/>
              </w:rPr>
              <w:t>Name:        ․․․․․․․․․․․․․․․․․․․․․․</w:t>
            </w:r>
          </w:p>
        </w:tc>
      </w:tr>
      <w:tr w:rsidR="00EE2207" w14:paraId="06F6B2B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C50393" w14:textId="77777777" w:rsidR="00EE2207" w:rsidRDefault="00000000">
            <w:pPr>
              <w:spacing w:before="100" w:after="80"/>
            </w:pPr>
            <w:r>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270BA6" w14:textId="77777777" w:rsidR="00EE2207" w:rsidRDefault="00000000">
            <w:pPr>
              <w:spacing w:before="100" w:after="80"/>
            </w:pPr>
            <w:r>
              <w:rPr>
                <w:color w:val="000000"/>
              </w:rPr>
              <w:t>Date:         ․․․․․․․․․․․․․․․․․․․․․․</w:t>
            </w:r>
          </w:p>
        </w:tc>
      </w:tr>
      <w:tr w:rsidR="00EE2207" w14:paraId="737FCFE2"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325D3C" w14:textId="77777777" w:rsidR="00EE2207" w:rsidRDefault="00EE2207">
            <w:pPr>
              <w:spacing w:after="200"/>
            </w:pP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2FA954" w14:textId="77777777" w:rsidR="00EE2207" w:rsidRDefault="00EE2207">
            <w:pPr>
              <w:spacing w:after="200"/>
            </w:pPr>
          </w:p>
        </w:tc>
      </w:tr>
      <w:tr w:rsidR="00EE2207" w14:paraId="239C7F7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56FF2D" w14:textId="77777777" w:rsidR="00EE2207" w:rsidRDefault="00000000">
            <w:pPr>
              <w:spacing w:after="160"/>
            </w:pPr>
            <w:r>
              <w:rPr>
                <w:b/>
                <w:bCs/>
                <w:color w:val="000000"/>
              </w:rPr>
              <w:t>Examiner 1</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880E61" w14:textId="77777777" w:rsidR="00EE2207" w:rsidRDefault="00000000">
            <w:pPr>
              <w:spacing w:after="160"/>
            </w:pPr>
            <w:r>
              <w:rPr>
                <w:b/>
                <w:bCs/>
                <w:color w:val="000000"/>
              </w:rPr>
              <w:t>Examiner 2</w:t>
            </w:r>
          </w:p>
        </w:tc>
      </w:tr>
      <w:tr w:rsidR="00EE2207" w14:paraId="1AA5DA3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5D21AF2" w14:textId="77777777" w:rsidR="00EE2207" w:rsidRDefault="00000000">
            <w:pPr>
              <w:spacing w:before="100" w:after="80"/>
            </w:pPr>
            <w:r>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8608A49" w14:textId="77777777" w:rsidR="00EE2207" w:rsidRDefault="00000000">
            <w:pPr>
              <w:spacing w:before="100" w:after="80"/>
            </w:pPr>
            <w:r>
              <w:rPr>
                <w:color w:val="000000"/>
              </w:rPr>
              <w:t>Signature:  ․․․․․․․․․․․․․․․․․․․․․․</w:t>
            </w:r>
          </w:p>
        </w:tc>
      </w:tr>
      <w:tr w:rsidR="00EE2207" w14:paraId="7DC2E85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7B1B663" w14:textId="77777777" w:rsidR="00EE2207" w:rsidRDefault="00000000">
            <w:pPr>
              <w:spacing w:before="100" w:after="80"/>
            </w:pPr>
            <w:r>
              <w:rPr>
                <w:color w:val="000000"/>
              </w:rPr>
              <w:t>Name: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AEF392" w14:textId="77777777" w:rsidR="00EE2207" w:rsidRDefault="00000000">
            <w:pPr>
              <w:spacing w:before="100" w:after="80"/>
            </w:pPr>
            <w:r>
              <w:rPr>
                <w:color w:val="000000"/>
              </w:rPr>
              <w:t>Name:        ․․․․․․․․․․․․․․․․․․․․․․</w:t>
            </w:r>
          </w:p>
        </w:tc>
      </w:tr>
      <w:tr w:rsidR="00EE2207" w14:paraId="584317B9"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957B283" w14:textId="77777777" w:rsidR="00EE2207" w:rsidRDefault="00000000">
            <w:pPr>
              <w:spacing w:before="100" w:after="80"/>
            </w:pPr>
            <w:r>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46816E4" w14:textId="77777777" w:rsidR="00EE2207" w:rsidRDefault="00000000">
            <w:pPr>
              <w:spacing w:before="100" w:after="80"/>
            </w:pPr>
            <w:r>
              <w:rPr>
                <w:color w:val="000000"/>
              </w:rPr>
              <w:t>Date:         ․․․․․․․․․․․․․․․․․․․․․․</w:t>
            </w:r>
          </w:p>
        </w:tc>
      </w:tr>
    </w:tbl>
    <w:p w14:paraId="20F1E774" w14:textId="77777777" w:rsidR="00EE2207" w:rsidRDefault="00EE2207"/>
    <w:p w14:paraId="3515D61E" w14:textId="77777777" w:rsidR="000B1220" w:rsidRDefault="000B1220">
      <w:pPr>
        <w:spacing w:before="160" w:after="160"/>
        <w:jc w:val="right"/>
        <w:rPr>
          <w:color w:val="000000"/>
        </w:rPr>
      </w:pPr>
    </w:p>
    <w:p w14:paraId="658F42C9" w14:textId="77777777" w:rsidR="00615601" w:rsidRDefault="00000000" w:rsidP="00615601">
      <w:pPr>
        <w:spacing w:before="160" w:after="160"/>
        <w:jc w:val="right"/>
        <w:rPr>
          <w:color w:val="000000"/>
        </w:rPr>
      </w:pPr>
      <w:r>
        <w:rPr>
          <w:color w:val="000000"/>
        </w:rPr>
        <w:t>(Seal of the School)</w:t>
      </w:r>
    </w:p>
    <w:p>
      <w:pPr>
        <w:pageBreakBefore/>
        <w:spacing w:before="80" w:after="400"/>
        <w:jc w:val="center"/>
      </w:pPr>
      <w:r>
        <w:rPr>
          <w:b/>
          <w:color w:val="000000"/>
          <w:sz w:val="32"/>
        </w:rPr>
        <w:t>Abstract</w:t>
      </w:r>
    </w:p>
    <w:p>
      <w:pPr>
        <w:spacing w:after="160" w:line="360" w:lineRule="auto"/>
        <w:ind w:firstLine="0"/>
        <w:jc w:val="both"/>
      </w:pPr>
      <w:r>
        <w:rPr>
          <w:color w:val="000000"/>
        </w:rPr>
        <w:t>Falls are the leading cause of injury-related harm in older adults, yet consumer wearables mostly detect a fall after it has happened, and health chatbots built on large language models (LLMs) state health numbers they cannot be trusted with. This project develops an explainable, safety-aware system that estimates daily fall risk from smart-ring data and explains it through a conversational agent.</w:t>
      </w:r>
    </w:p>
    <w:p>
      <w:pPr>
        <w:spacing w:after="160" w:line="360" w:lineRule="auto"/>
        <w:ind w:firstLine="0"/>
        <w:jc w:val="both"/>
      </w:pPr>
      <w:r>
        <w:rPr>
          <w:color w:val="000000"/>
        </w:rPr>
        <w:t>A Flutter and Android application collects heart rate, heart-rate variability, blood oxygen, skin temperature, sleep, stress and step data from a Bluetooth smart ring and stores them in Supabase. A deterministic fall-risk engine compares each signal with the user’s own 28-day median baseline, converts robust z-score deviations into strain through a dead-zone mapping, aggregates them into physiology, recovery, motion and fall-history layers, and combines the layers with weights derived from published odds ratios (λ ∝ ln OR). For women, baselines are matched to the menstrual-cycle phase. Every point of the resulting Fall Risk Score is attributed to a measurement. An agent then explains the score: it routes each question to the data it needs, fuses keyword, LLM and ring fall-event signals to detect emergencies, and checks every number in its reply against the user’s data.</w:t>
      </w:r>
    </w:p>
    <w:p>
      <w:pPr>
        <w:spacing w:after="160" w:line="360" w:lineRule="auto"/>
        <w:ind w:firstLine="0"/>
        <w:jc w:val="both"/>
      </w:pPr>
      <w:r>
        <w:rPr>
          <w:color w:val="000000"/>
        </w:rPr>
        <w:t>On 11 scenarios the full agent detected all three emergencies, including one visible only through the ring’s fall event, with no false alarms, and achieved a strict numeric grounding of 0.979 against 0.723 for a plain LLM. On the real PhysioNet LTMM dataset of 73 older adults, an untrained gait-instability index reached an AUC of 0.686, comparable to the clinical Timed Up and Go test (0.683). Cycle-aware baselines reduced physiology risk on normal luteal days by 43%. The work shows that an untrained, evidence-weighted engine can give transparent fall-risk estimates whose every number can be traced and verified.</w:t>
      </w:r>
    </w:p>
    <w:p>
      <w:pPr>
        <w:spacing w:after="160" w:line="360" w:lineRule="auto"/>
        <w:ind w:firstLine="0"/>
        <w:jc w:val="both"/>
      </w:pPr>
      <w:r>
        <w:rPr>
          <w:b/>
          <w:color w:val="000000"/>
        </w:rPr>
        <w:t>Keywords:</w:t>
      </w:r>
      <w:r>
        <w:rPr>
          <w:color w:val="000000"/>
        </w:rPr>
        <w:t xml:space="preserve"> Fall-risk prediction, smart ring, explainable AI, personal baselines, LLM agents, grounding, safety fusion, gait analysis, menstrual cycle</w:t>
      </w:r>
    </w:p>
    <w:p>
      <w:pPr>
        <w:pageBreakBefore/>
        <w:spacing w:before="80" w:after="400"/>
        <w:jc w:val="center"/>
      </w:pPr>
      <w:r>
        <w:rPr>
          <w:b/>
          <w:color w:val="000000"/>
          <w:sz w:val="32"/>
        </w:rPr>
        <w:t>Acknowledgements</w:t>
      </w:r>
    </w:p>
    <w:p>
      <w:pPr>
        <w:spacing w:after="160" w:line="360" w:lineRule="auto"/>
        <w:ind w:firstLine="0"/>
        <w:jc w:val="both"/>
      </w:pPr>
      <w:r>
        <w:rPr>
          <w:color w:val="000000"/>
        </w:rPr>
        <w:t xml:space="preserve">We wish to express our sincere thanks and deep sense of gratitude to our project guide, </w:t>
      </w:r>
      <w:r>
        <w:rPr>
          <w:b/>
          <w:color w:val="000000"/>
        </w:rPr>
        <w:t>Dr. Sheena Christabel Pravin</w:t>
      </w:r>
      <w:r>
        <w:rPr>
          <w:color w:val="000000"/>
        </w:rPr>
        <w:t>, School of Electronics Engineering (SENSE), for the consistent encouragement and valuable guidance throughout the course of this project. The advice to go deeper into signal processing shaped the gait-analysis work in this report.</w:t>
      </w:r>
    </w:p>
    <w:p>
      <w:pPr>
        <w:spacing w:after="160" w:line="360" w:lineRule="auto"/>
        <w:ind w:firstLine="0"/>
        <w:jc w:val="both"/>
      </w:pPr>
      <w:r>
        <w:rPr>
          <w:color w:val="000000"/>
        </w:rPr>
        <w:t xml:space="preserve">We sincerely express our gratitude to </w:t>
      </w:r>
      <w:r>
        <w:rPr>
          <w:b/>
          <w:color w:val="000000"/>
        </w:rPr>
        <w:t>Dr. Ravi Sankar A</w:t>
      </w:r>
      <w:r>
        <w:rPr>
          <w:color w:val="000000"/>
        </w:rPr>
        <w:t xml:space="preserve">, Dean, SENSE; </w:t>
      </w:r>
      <w:r>
        <w:rPr>
          <w:b/>
          <w:color w:val="000000"/>
        </w:rPr>
        <w:t>Dr. Mohanaprasad K</w:t>
      </w:r>
      <w:r>
        <w:rPr>
          <w:color w:val="000000"/>
        </w:rPr>
        <w:t xml:space="preserve">, Associate Dean (Academics), SENSE; and </w:t>
      </w:r>
      <w:r>
        <w:rPr>
          <w:b/>
          <w:color w:val="000000"/>
        </w:rPr>
        <w:t>Dr. Chitra K</w:t>
      </w:r>
      <w:r>
        <w:rPr>
          <w:color w:val="000000"/>
        </w:rPr>
        <w:t>, Associate Dean (Research), SENSE, for providing the necessary facilities and for their constant encouragement and support throughout our project.</w:t>
      </w:r>
    </w:p>
    <w:p>
      <w:pPr>
        <w:spacing w:after="160" w:line="360" w:lineRule="auto"/>
        <w:ind w:firstLine="0"/>
        <w:jc w:val="both"/>
      </w:pPr>
      <w:r>
        <w:rPr>
          <w:color w:val="000000"/>
        </w:rPr>
        <w:t xml:space="preserve">We also extend our heartfelt thanks to </w:t>
      </w:r>
      <w:r>
        <w:rPr>
          <w:b/>
          <w:color w:val="000000"/>
        </w:rPr>
        <w:t>Dr. Vijayakumar P</w:t>
      </w:r>
      <w:r>
        <w:rPr>
          <w:color w:val="000000"/>
        </w:rPr>
        <w:t>, Head of the Department, for the continuous guidance and support during the course of this project, and to the review panel members for their feedback at each review.</w:t>
      </w:r>
    </w:p>
    <w:p>
      <w:pPr>
        <w:spacing w:after="160" w:line="360" w:lineRule="auto"/>
        <w:ind w:firstLine="0"/>
        <w:jc w:val="both"/>
      </w:pPr>
      <w:r>
        <w:rPr>
          <w:color w:val="000000"/>
        </w:rPr>
        <w:t>We thank the creators of the PhysioNet Long Term Movement Monitoring Database for making their data openly available, which allowed us to validate our methods on real recordings.</w:t>
      </w:r>
    </w:p>
    <w:p>
      <w:pPr>
        <w:spacing w:after="160" w:line="360" w:lineRule="auto"/>
        <w:ind w:firstLine="0"/>
        <w:jc w:val="both"/>
      </w:pPr>
      <w:r>
        <w:rPr>
          <w:color w:val="000000"/>
        </w:rPr>
        <w:t>We also take this opportunity to thank all the faculty of the School for their support and their wisdom imparted to us throughout the course. We thank our parents, family, and friends for bearing with us throughout the course of our project and for the opportunity they provided us in undergoing this course in such a prestigious institution.</w:t>
      </w:r>
    </w:p>
    <w:p>
      <w:pPr>
        <w:spacing w:before="0" w:after="240"/>
      </w:pPr>
    </w:p>
    <w:p>
      <w:pPr>
        <w:spacing w:after="160" w:line="360" w:lineRule="auto"/>
        <w:ind w:firstLine="0"/>
        <w:jc w:val="both"/>
      </w:pPr>
      <w:r>
        <w:rPr>
          <w:color w:val="000000"/>
        </w:rPr>
        <w:t>G Sivakumar  Kriti Sahana V</w:t>
      </w:r>
    </w:p>
    <w:p>
      <w:pPr>
        <w:pageBreakBefore/>
        <w:spacing w:before="80" w:after="400"/>
        <w:jc w:val="center"/>
      </w:pPr>
      <w:r>
        <w:rPr>
          <w:b/>
          <w:color w:val="000000"/>
          <w:sz w:val="32"/>
        </w:rPr>
        <w:t>Codes and Standards</w:t>
      </w:r>
    </w:p>
    <w:p>
      <w:pPr>
        <w:spacing w:after="160" w:line="360" w:lineRule="auto"/>
        <w:ind w:firstLine="0"/>
        <w:jc w:val="both"/>
      </w:pPr>
      <w:r>
        <w:rPr>
          <w:b/>
          <w:color w:val="000000"/>
        </w:rPr>
        <w:t>Project Title:</w:t>
      </w:r>
      <w:r>
        <w:rPr>
          <w:color w:val="000000"/>
        </w:rPr>
        <w:t xml:space="preserve"> Explainable, Safety-Aware Fall-Risk Prediction from Smart-Ring Data</w:t>
      </w:r>
    </w:p>
    <w:p>
      <w:pPr>
        <w:spacing w:after="160" w:line="360" w:lineRule="auto"/>
        <w:ind w:firstLine="0"/>
        <w:jc w:val="both"/>
      </w:pPr>
      <w:r>
        <w:rPr>
          <w:color w:val="000000"/>
        </w:rPr>
        <w:t>The system is a research prototype that gives screening estimates; it is not a certified medical device. The standards below guided its design, development, data handling and reporting.</w:t>
      </w:r>
    </w:p>
    <w:p>
      <w:pPr>
        <w:keepNext/>
        <w:spacing w:before="200" w:after="80"/>
      </w:pPr>
      <w:r>
        <w:rPr>
          <w:b/>
          <w:color w:val="000000"/>
        </w:rPr>
        <w:t>1. Health Software and Risk Management</w:t>
      </w:r>
    </w:p>
    <w:p>
      <w:pPr>
        <w:pStyle w:val="ListParagraph"/>
        <w:numPr>
          <w:ilvl w:val="0"/>
          <w:numId w:val="2"/>
        </w:numPr>
        <w:spacing w:before="40" w:after="40" w:line="360" w:lineRule="auto"/>
        <w:jc w:val="both"/>
      </w:pPr>
      <w:r>
        <w:rPr>
          <w:b/>
          <w:color w:val="000000"/>
        </w:rPr>
        <w:t>IEC 62304 – Medical device software: software life-cycle processes</w:t>
      </w:r>
      <w:r>
        <w:rPr>
          <w:color w:val="000000"/>
        </w:rPr>
        <w:t xml:space="preserve"> – Guided the structured development, unit testing and traceability of the fall-risk engine and agent.</w:t>
      </w:r>
    </w:p>
    <w:p>
      <w:pPr>
        <w:pStyle w:val="ListParagraph"/>
        <w:numPr>
          <w:ilvl w:val="0"/>
          <w:numId w:val="2"/>
        </w:numPr>
        <w:spacing w:before="40" w:after="40" w:line="360" w:lineRule="auto"/>
        <w:jc w:val="both"/>
      </w:pPr>
      <w:r>
        <w:rPr>
          <w:b/>
          <w:color w:val="000000"/>
        </w:rPr>
        <w:t>ISO 14971 – Application of risk management to medical devices</w:t>
      </w:r>
      <w:r>
        <w:rPr>
          <w:color w:val="000000"/>
        </w:rPr>
        <w:t xml:space="preserve"> – Used to reason about hazards such as missed emergencies and false alarms, which shaped the tri-modal safety fusion and the asymmetric routing.</w:t>
      </w:r>
    </w:p>
    <w:p>
      <w:pPr>
        <w:pStyle w:val="ListParagraph"/>
        <w:numPr>
          <w:ilvl w:val="0"/>
          <w:numId w:val="2"/>
        </w:numPr>
        <w:spacing w:before="40" w:after="40" w:line="360" w:lineRule="auto"/>
        <w:jc w:val="both"/>
      </w:pPr>
      <w:r>
        <w:rPr>
          <w:b/>
          <w:color w:val="000000"/>
        </w:rPr>
        <w:t>IEC 82304-1 – Health software: general requirements for product safety</w:t>
      </w:r>
      <w:r>
        <w:rPr>
          <w:color w:val="000000"/>
        </w:rPr>
        <w:t xml:space="preserve"> – Informed the decision that the system gives screening estimates only and never a diagnosis.</w:t>
      </w:r>
    </w:p>
    <w:p>
      <w:pPr>
        <w:keepNext/>
        <w:spacing w:before="200" w:after="80"/>
      </w:pPr>
      <w:r>
        <w:rPr>
          <w:b/>
          <w:color w:val="000000"/>
        </w:rPr>
        <w:t>2. Wireless Communication and Personal Health Devices</w:t>
      </w:r>
    </w:p>
    <w:p>
      <w:pPr>
        <w:pStyle w:val="ListParagraph"/>
        <w:numPr>
          <w:ilvl w:val="0"/>
          <w:numId w:val="2"/>
        </w:numPr>
        <w:spacing w:before="40" w:after="40" w:line="360" w:lineRule="auto"/>
        <w:jc w:val="both"/>
      </w:pPr>
      <w:r>
        <w:rPr>
          <w:b/>
          <w:color w:val="000000"/>
        </w:rPr>
        <w:t>Bluetooth Core Specification v5.x (Bluetooth Low Energy)</w:t>
      </w:r>
      <w:r>
        <w:rPr>
          <w:color w:val="000000"/>
        </w:rPr>
        <w:t xml:space="preserve"> – Link between the smart ring and the phone for measurements and history download.</w:t>
      </w:r>
    </w:p>
    <w:p>
      <w:pPr>
        <w:pStyle w:val="ListParagraph"/>
        <w:numPr>
          <w:ilvl w:val="0"/>
          <w:numId w:val="2"/>
        </w:numPr>
        <w:spacing w:before="40" w:after="40" w:line="360" w:lineRule="auto"/>
        <w:jc w:val="both"/>
      </w:pPr>
      <w:r>
        <w:rPr>
          <w:b/>
          <w:color w:val="000000"/>
        </w:rPr>
        <w:t>ISO/IEEE 11073 – Personal health device communication</w:t>
      </w:r>
      <w:r>
        <w:rPr>
          <w:color w:val="000000"/>
        </w:rPr>
        <w:t xml:space="preserve"> – Reference for naming and units of vital-sign data exchanged between device and application.</w:t>
      </w:r>
    </w:p>
    <w:p>
      <w:pPr>
        <w:keepNext/>
        <w:spacing w:before="200" w:after="80"/>
      </w:pPr>
      <w:r>
        <w:rPr>
          <w:b/>
          <w:color w:val="000000"/>
        </w:rPr>
        <w:t>3. Data Protection and Security</w:t>
      </w:r>
    </w:p>
    <w:p>
      <w:pPr>
        <w:pStyle w:val="ListParagraph"/>
        <w:numPr>
          <w:ilvl w:val="0"/>
          <w:numId w:val="2"/>
        </w:numPr>
        <w:spacing w:before="40" w:after="40" w:line="360" w:lineRule="auto"/>
        <w:jc w:val="both"/>
      </w:pPr>
      <w:r>
        <w:rPr>
          <w:b/>
          <w:color w:val="000000"/>
        </w:rPr>
        <w:t>ISO/IEC 27001 – Information security management systems</w:t>
      </w:r>
      <w:r>
        <w:rPr>
          <w:color w:val="000000"/>
        </w:rPr>
        <w:t xml:space="preserve"> – Reference for protecting stored biometric data and access credentials.</w:t>
      </w:r>
    </w:p>
    <w:p>
      <w:pPr>
        <w:pStyle w:val="ListParagraph"/>
        <w:numPr>
          <w:ilvl w:val="0"/>
          <w:numId w:val="2"/>
        </w:numPr>
        <w:spacing w:before="40" w:after="40" w:line="360" w:lineRule="auto"/>
        <w:jc w:val="both"/>
      </w:pPr>
      <w:r>
        <w:rPr>
          <w:b/>
          <w:color w:val="000000"/>
        </w:rPr>
        <w:t>Digital Personal Data Protection Act, 2023 (India)</w:t>
      </w:r>
      <w:r>
        <w:rPr>
          <w:color w:val="000000"/>
        </w:rPr>
        <w:t xml:space="preserve"> – Health readings are personal data; consent, purpose limitation and deletion on logout were applied.</w:t>
      </w:r>
    </w:p>
    <w:p>
      <w:pPr>
        <w:pStyle w:val="ListParagraph"/>
        <w:numPr>
          <w:ilvl w:val="0"/>
          <w:numId w:val="2"/>
        </w:numPr>
        <w:spacing w:before="40" w:after="40" w:line="360" w:lineRule="auto"/>
        <w:jc w:val="both"/>
      </w:pPr>
      <w:r>
        <w:rPr>
          <w:b/>
          <w:color w:val="000000"/>
        </w:rPr>
        <w:t>RFC 8446 (TLS 1.3) and RFC 7519 (JSON Web Token)</w:t>
      </w:r>
      <w:r>
        <w:rPr>
          <w:color w:val="000000"/>
        </w:rPr>
        <w:t xml:space="preserve"> – Encrypted transport to Supabase and token-based user authentication.</w:t>
      </w:r>
    </w:p>
    <w:p>
      <w:pPr>
        <w:keepNext/>
        <w:spacing w:before="200" w:after="80"/>
      </w:pPr>
      <w:r>
        <w:rPr>
          <w:b/>
          <w:color w:val="000000"/>
        </w:rPr>
        <w:t>4. Artificial Intelligence and Software Quality</w:t>
      </w:r>
    </w:p>
    <w:p>
      <w:pPr>
        <w:pStyle w:val="ListParagraph"/>
        <w:numPr>
          <w:ilvl w:val="0"/>
          <w:numId w:val="2"/>
        </w:numPr>
        <w:spacing w:before="40" w:after="40" w:line="360" w:lineRule="auto"/>
        <w:jc w:val="both"/>
      </w:pPr>
      <w:r>
        <w:rPr>
          <w:b/>
          <w:color w:val="000000"/>
        </w:rPr>
        <w:t>ISO/IEC 23894 – Artificial intelligence: guidance on risk management</w:t>
      </w:r>
      <w:r>
        <w:rPr>
          <w:color w:val="000000"/>
        </w:rPr>
        <w:t xml:space="preserve"> – Applied to the LLM components: the score is never generated by the LLM and every number is verified.</w:t>
      </w:r>
    </w:p>
    <w:p>
      <w:pPr>
        <w:pStyle w:val="ListParagraph"/>
        <w:numPr>
          <w:ilvl w:val="0"/>
          <w:numId w:val="2"/>
        </w:numPr>
        <w:spacing w:before="40" w:after="40" w:line="360" w:lineRule="auto"/>
        <w:jc w:val="both"/>
      </w:pPr>
      <w:r>
        <w:rPr>
          <w:b/>
          <w:color w:val="000000"/>
        </w:rPr>
        <w:t>ISO/IEC 25010 – Systems and software quality models</w:t>
      </w:r>
      <w:r>
        <w:rPr>
          <w:color w:val="000000"/>
        </w:rPr>
        <w:t xml:space="preserve"> – Quality attributes (reliability, maintainability, usability) used when reviewing the application.</w:t>
      </w:r>
    </w:p>
    <w:p>
      <w:pPr>
        <w:keepNext/>
        <w:spacing w:before="200" w:after="80"/>
      </w:pPr>
      <w:r>
        <w:rPr>
          <w:b/>
          <w:color w:val="000000"/>
        </w:rPr>
        <w:t>5. Reporting of Prediction Models</w:t>
      </w:r>
    </w:p>
    <w:p>
      <w:pPr>
        <w:pStyle w:val="ListParagraph"/>
        <w:numPr>
          <w:ilvl w:val="0"/>
          <w:numId w:val="2"/>
        </w:numPr>
        <w:spacing w:before="40" w:after="40" w:line="360" w:lineRule="auto"/>
        <w:jc w:val="both"/>
      </w:pPr>
      <w:r>
        <w:rPr>
          <w:b/>
          <w:color w:val="000000"/>
        </w:rPr>
        <w:t>TRIPOD statement – Transparent reporting of a multivariable prediction model</w:t>
      </w:r>
      <w:r>
        <w:rPr>
          <w:color w:val="000000"/>
        </w:rPr>
        <w:t xml:space="preserve"> – Followed when reporting the LTMM experiments: pre-specified models, all results reported, subject-wise validation and stated limitations.</w:t>
      </w:r>
    </w:p>
    <w:p>
      <w:pPr>
        <w:pageBreakBefore/>
        <w:spacing w:before="80" w:after="400"/>
        <w:jc w:val="center"/>
      </w:pPr>
      <w:r>
        <w:rPr>
          <w:b/>
          <w:color w:val="000000"/>
          <w:sz w:val="32"/>
        </w:rPr>
        <w:t>Mapping of Sustainable Development Goals (SDGs)</w:t>
      </w:r>
    </w:p>
    <w:p>
      <w:pPr>
        <w:spacing w:after="160" w:line="360" w:lineRule="auto"/>
        <w:ind w:firstLine="0"/>
        <w:jc w:val="both"/>
      </w:pPr>
      <w:r>
        <w:rPr>
          <w:b/>
          <w:color w:val="000000"/>
        </w:rPr>
        <w:t>Project Title:</w:t>
      </w:r>
      <w:r>
        <w:rPr>
          <w:color w:val="000000"/>
        </w:rPr>
        <w:t xml:space="preserve"> Explainable, Safety-Aware Fall-Risk Prediction from Smart-Ring Data</w:t>
      </w:r>
    </w:p>
    <w:tbl>
      <w:tblPr>
        <w:tblStyle w:val="TableGrid"/>
        <w:tblW w:w="8958" w:type="dxa"/>
        <w:jc w:val="center"/>
        <w:tblLayout w:type="fixed"/>
        <w:tblLook w:firstColumn="1" w:firstRow="1" w:lastColumn="0" w:lastRow="0" w:noHBand="0" w:noVBand="1" w:val="04A0"/>
      </w:tblPr>
      <w:tblGrid>
        <w:gridCol w:w="2381"/>
        <w:gridCol w:w="3402"/>
        <w:gridCol w:w="3175"/>
      </w:tblGrid>
      <w:tr>
        <w:trPr>
          <w:cantSplit/>
          <w:tblHeader/>
        </w:trPr>
        <w:tc>
          <w:tcPr>
            <w:tcW w:w="2381" w:type="dxa"/>
            <w:shd w:val="clear" w:color="auto" w:fill="E7E6E6"/>
            <w:vAlign w:val="center"/>
          </w:tcPr>
          <w:p>
            <w:pPr>
              <w:spacing w:before="20" w:after="20"/>
              <w:jc w:val="center"/>
            </w:pPr>
            <w:r>
              <w:rPr>
                <w:b/>
                <w:color w:val="000000"/>
                <w:sz w:val="20"/>
              </w:rPr>
              <w:t>Mapped SDG</w:t>
            </w:r>
          </w:p>
        </w:tc>
        <w:tc>
          <w:tcPr>
            <w:tcW w:w="3402" w:type="dxa"/>
            <w:shd w:val="clear" w:color="auto" w:fill="E7E6E6"/>
            <w:vAlign w:val="center"/>
          </w:tcPr>
          <w:p>
            <w:pPr>
              <w:spacing w:before="20" w:after="20"/>
              <w:jc w:val="center"/>
            </w:pPr>
            <w:r>
              <w:rPr>
                <w:b/>
                <w:color w:val="000000"/>
                <w:sz w:val="20"/>
              </w:rPr>
              <w:t>Justification</w:t>
            </w:r>
          </w:p>
        </w:tc>
        <w:tc>
          <w:tcPr>
            <w:tcW w:w="3175" w:type="dxa"/>
            <w:shd w:val="clear" w:color="auto" w:fill="E7E6E6"/>
            <w:vAlign w:val="center"/>
          </w:tcPr>
          <w:p>
            <w:pPr>
              <w:spacing w:before="20" w:after="20"/>
              <w:jc w:val="center"/>
            </w:pPr>
            <w:r>
              <w:rPr>
                <w:b/>
                <w:color w:val="000000"/>
                <w:sz w:val="20"/>
              </w:rPr>
              <w:t>Expected Impact</w:t>
            </w:r>
          </w:p>
        </w:tc>
      </w:tr>
      <w:tr>
        <w:trPr>
          <w:cantSplit/>
        </w:trPr>
        <w:tc>
          <w:tcPr>
            <w:tcW w:w="2381" w:type="dxa"/>
            <w:vAlign w:val="center"/>
          </w:tcPr>
          <w:p>
            <w:pPr>
              <w:spacing w:before="20" w:after="20"/>
              <w:jc w:val="left"/>
            </w:pPr>
            <w:r>
              <w:rPr>
                <w:color w:val="000000"/>
                <w:sz w:val="20"/>
              </w:rPr>
              <w:t>SDG 3 – Good Health and Well-being</w:t>
            </w:r>
          </w:p>
        </w:tc>
        <w:tc>
          <w:tcPr>
            <w:tcW w:w="3402" w:type="dxa"/>
            <w:vAlign w:val="center"/>
          </w:tcPr>
          <w:p>
            <w:pPr>
              <w:spacing w:before="20" w:after="20"/>
              <w:jc w:val="left"/>
            </w:pPr>
            <w:r>
              <w:rPr>
                <w:color w:val="000000"/>
                <w:sz w:val="20"/>
              </w:rPr>
              <w:t>Daily fall-risk estimates and emergency detection support older adults living independently.</w:t>
            </w:r>
          </w:p>
        </w:tc>
        <w:tc>
          <w:tcPr>
            <w:tcW w:w="3175" w:type="dxa"/>
            <w:vAlign w:val="center"/>
          </w:tcPr>
          <w:p>
            <w:pPr>
              <w:spacing w:before="20" w:after="20"/>
              <w:jc w:val="left"/>
            </w:pPr>
            <w:r>
              <w:rPr>
                <w:color w:val="000000"/>
                <w:sz w:val="20"/>
              </w:rPr>
              <w:t>Earlier warning of rising fall risk and faster escalation after a fall can reduce injury and hospital stays.</w:t>
            </w:r>
          </w:p>
        </w:tc>
      </w:tr>
      <w:tr>
        <w:trPr>
          <w:cantSplit/>
        </w:trPr>
        <w:tc>
          <w:tcPr>
            <w:tcW w:w="2381" w:type="dxa"/>
            <w:vAlign w:val="center"/>
          </w:tcPr>
          <w:p>
            <w:pPr>
              <w:spacing w:before="20" w:after="20"/>
              <w:jc w:val="left"/>
            </w:pPr>
            <w:r>
              <w:rPr>
                <w:color w:val="000000"/>
                <w:sz w:val="20"/>
              </w:rPr>
              <w:t>SDG 5 – Gender Equality</w:t>
            </w:r>
          </w:p>
        </w:tc>
        <w:tc>
          <w:tcPr>
            <w:tcW w:w="3402" w:type="dxa"/>
            <w:vAlign w:val="center"/>
          </w:tcPr>
          <w:p>
            <w:pPr>
              <w:spacing w:before="20" w:after="20"/>
              <w:jc w:val="left"/>
            </w:pPr>
            <w:r>
              <w:rPr>
                <w:color w:val="000000"/>
                <w:sz w:val="20"/>
              </w:rPr>
              <w:t>Cycle-aware baselines stop normal menstrual-cycle changes from being flagged as risk.</w:t>
            </w:r>
          </w:p>
        </w:tc>
        <w:tc>
          <w:tcPr>
            <w:tcW w:w="3175" w:type="dxa"/>
            <w:vAlign w:val="center"/>
          </w:tcPr>
          <w:p>
            <w:pPr>
              <w:spacing w:before="20" w:after="20"/>
              <w:jc w:val="left"/>
            </w:pPr>
            <w:r>
              <w:rPr>
                <w:color w:val="000000"/>
                <w:sz w:val="20"/>
              </w:rPr>
              <w:t>Fairer risk estimates for women, who are otherwise judged against a cycle-blind baseline.</w:t>
            </w:r>
          </w:p>
        </w:tc>
      </w:tr>
      <w:tr>
        <w:trPr>
          <w:cantSplit/>
        </w:trPr>
        <w:tc>
          <w:tcPr>
            <w:tcW w:w="2381" w:type="dxa"/>
            <w:vAlign w:val="center"/>
          </w:tcPr>
          <w:p>
            <w:pPr>
              <w:spacing w:before="20" w:after="20"/>
              <w:jc w:val="left"/>
            </w:pPr>
            <w:r>
              <w:rPr>
                <w:color w:val="000000"/>
                <w:sz w:val="20"/>
              </w:rPr>
              <w:t>SDG 9 – Industry, Innovation and Infrastructure</w:t>
            </w:r>
          </w:p>
        </w:tc>
        <w:tc>
          <w:tcPr>
            <w:tcW w:w="3402" w:type="dxa"/>
            <w:vAlign w:val="center"/>
          </w:tcPr>
          <w:p>
            <w:pPr>
              <w:spacing w:before="20" w:after="20"/>
              <w:jc w:val="left"/>
            </w:pPr>
            <w:r>
              <w:rPr>
                <w:color w:val="000000"/>
                <w:sz w:val="20"/>
              </w:rPr>
              <w:t>Combines a low-cost wearable, a cloud database and an explainable AI agent into one system.</w:t>
            </w:r>
          </w:p>
        </w:tc>
        <w:tc>
          <w:tcPr>
            <w:tcW w:w="3175" w:type="dxa"/>
            <w:vAlign w:val="center"/>
          </w:tcPr>
          <w:p>
            <w:pPr>
              <w:spacing w:before="20" w:after="20"/>
              <w:jc w:val="left"/>
            </w:pPr>
            <w:r>
              <w:rPr>
                <w:color w:val="000000"/>
                <w:sz w:val="20"/>
              </w:rPr>
              <w:t>A reusable, open design for trustworthy health AI on consumer hardware.</w:t>
            </w:r>
          </w:p>
        </w:tc>
      </w:tr>
      <w:tr>
        <w:trPr>
          <w:cantSplit/>
        </w:trPr>
        <w:tc>
          <w:tcPr>
            <w:tcW w:w="2381" w:type="dxa"/>
            <w:vAlign w:val="center"/>
          </w:tcPr>
          <w:p>
            <w:pPr>
              <w:spacing w:before="20" w:after="20"/>
              <w:jc w:val="left"/>
            </w:pPr>
            <w:r>
              <w:rPr>
                <w:color w:val="000000"/>
                <w:sz w:val="20"/>
              </w:rPr>
              <w:t>SDG 10 – Reduced Inequalities</w:t>
            </w:r>
          </w:p>
        </w:tc>
        <w:tc>
          <w:tcPr>
            <w:tcW w:w="3402" w:type="dxa"/>
            <w:vAlign w:val="center"/>
          </w:tcPr>
          <w:p>
            <w:pPr>
              <w:spacing w:before="20" w:after="20"/>
              <w:jc w:val="left"/>
            </w:pPr>
            <w:r>
              <w:rPr>
                <w:color w:val="000000"/>
                <w:sz w:val="20"/>
              </w:rPr>
              <w:t>Runs on an affordable ring and phone, with plain-language explanations of every score.</w:t>
            </w:r>
          </w:p>
        </w:tc>
        <w:tc>
          <w:tcPr>
            <w:tcW w:w="3175" w:type="dxa"/>
            <w:vAlign w:val="center"/>
          </w:tcPr>
          <w:p>
            <w:pPr>
              <w:spacing w:before="20" w:after="20"/>
              <w:jc w:val="left"/>
            </w:pPr>
            <w:r>
              <w:rPr>
                <w:color w:val="000000"/>
                <w:sz w:val="20"/>
              </w:rPr>
              <w:t>Makes continuous risk monitoring accessible beyond clinical settings.</w:t>
            </w:r>
          </w:p>
        </w:tc>
      </w:tr>
    </w:tbl>
    <w:p>
      <w:pPr>
        <w:spacing w:before="0" w:after="120"/>
      </w:pPr>
    </w:p>
    <w:p>
      <w:pPr>
        <w:pageBreakBefore/>
        <w:spacing w:before="80" w:after="400"/>
        <w:jc w:val="center"/>
      </w:pPr>
      <w:r>
        <w:rPr>
          <w:b/>
          <w:color w:val="000000"/>
          <w:sz w:val="32"/>
        </w:rPr>
        <w:t>Table of Contents</w:t>
      </w:r>
    </w:p>
    <w:p>
      <w:pPr>
        <w:tabs>
          <w:tab w:val="right" w:leader="dot" w:pos="8666"/>
        </w:tabs>
        <w:spacing w:before="20" w:after="20"/>
      </w:pPr>
      <w:r>
        <w:rPr>
          <w:color w:val="000000"/>
        </w:rPr>
        <w:t>Declaration</w:t>
      </w:r>
      <w:r>
        <w:tab/>
      </w:r>
      <w:r>
        <w:rPr>
          <w:i/>
          <w:color w:val="000000"/>
        </w:rPr>
        <w:t>i</w:t>
      </w:r>
    </w:p>
    <w:p>
      <w:pPr>
        <w:tabs>
          <w:tab w:val="right" w:leader="dot" w:pos="8666"/>
        </w:tabs>
        <w:spacing w:before="20" w:after="20"/>
      </w:pPr>
      <w:r>
        <w:rPr>
          <w:color w:val="000000"/>
        </w:rPr>
        <w:t>Certificate</w:t>
      </w:r>
      <w:r>
        <w:tab/>
      </w:r>
      <w:r>
        <w:rPr>
          <w:i/>
          <w:color w:val="000000"/>
        </w:rPr>
        <w:t>ii</w:t>
      </w:r>
    </w:p>
    <w:p>
      <w:pPr>
        <w:tabs>
          <w:tab w:val="right" w:leader="dot" w:pos="8666"/>
        </w:tabs>
        <w:spacing w:before="20" w:after="20"/>
      </w:pPr>
      <w:r>
        <w:rPr>
          <w:color w:val="000000"/>
        </w:rPr>
        <w:t>Abstract</w:t>
      </w:r>
      <w:r>
        <w:tab/>
      </w:r>
      <w:r>
        <w:rPr>
          <w:i/>
          <w:color w:val="000000"/>
        </w:rPr>
        <w:t>iii</w:t>
      </w:r>
    </w:p>
    <w:p>
      <w:pPr>
        <w:tabs>
          <w:tab w:val="right" w:leader="dot" w:pos="8666"/>
        </w:tabs>
        <w:spacing w:before="20" w:after="20"/>
      </w:pPr>
      <w:r>
        <w:rPr>
          <w:color w:val="000000"/>
        </w:rPr>
        <w:t>Acknowledgements</w:t>
      </w:r>
      <w:r>
        <w:tab/>
      </w:r>
      <w:r>
        <w:rPr>
          <w:i/>
          <w:color w:val="000000"/>
        </w:rPr>
        <w:t>iv</w:t>
      </w:r>
    </w:p>
    <w:p>
      <w:pPr>
        <w:tabs>
          <w:tab w:val="right" w:leader="dot" w:pos="8666"/>
        </w:tabs>
        <w:spacing w:before="20" w:after="20"/>
      </w:pPr>
      <w:r>
        <w:rPr>
          <w:color w:val="000000"/>
        </w:rPr>
        <w:t>Codes and Standards</w:t>
      </w:r>
      <w:r>
        <w:tab/>
      </w:r>
      <w:r>
        <w:rPr>
          <w:i/>
          <w:color w:val="000000"/>
        </w:rPr>
        <w:t>v</w:t>
      </w:r>
    </w:p>
    <w:p>
      <w:pPr>
        <w:tabs>
          <w:tab w:val="right" w:leader="dot" w:pos="8666"/>
        </w:tabs>
        <w:spacing w:before="20" w:after="20"/>
      </w:pPr>
      <w:r>
        <w:rPr>
          <w:color w:val="000000"/>
        </w:rPr>
        <w:t>Mapping of Sustainable Development Goals (SDGs)</w:t>
      </w:r>
      <w:r>
        <w:tab/>
      </w:r>
      <w:r>
        <w:rPr>
          <w:i/>
          <w:color w:val="000000"/>
        </w:rPr>
        <w:t>vii</w:t>
      </w:r>
    </w:p>
    <w:p>
      <w:pPr>
        <w:tabs>
          <w:tab w:val="right" w:leader="dot" w:pos="8666"/>
        </w:tabs>
        <w:spacing w:before="20" w:after="20"/>
      </w:pPr>
      <w:r>
        <w:rPr>
          <w:color w:val="000000"/>
        </w:rPr>
        <w:t>List of Figures</w:t>
      </w:r>
      <w:r>
        <w:tab/>
      </w:r>
      <w:r>
        <w:rPr>
          <w:i/>
          <w:color w:val="000000"/>
        </w:rPr>
        <w:t>x</w:t>
      </w:r>
    </w:p>
    <w:p>
      <w:pPr>
        <w:tabs>
          <w:tab w:val="right" w:leader="dot" w:pos="8666"/>
        </w:tabs>
        <w:spacing w:before="20" w:after="20"/>
      </w:pPr>
      <w:r>
        <w:rPr>
          <w:color w:val="000000"/>
        </w:rPr>
        <w:t>List of Tables</w:t>
      </w:r>
      <w:r>
        <w:tab/>
      </w:r>
      <w:r>
        <w:rPr>
          <w:i/>
          <w:color w:val="000000"/>
        </w:rPr>
        <w:t>xi</w:t>
      </w:r>
    </w:p>
    <w:p>
      <w:pPr>
        <w:tabs>
          <w:tab w:val="right" w:leader="dot" w:pos="8666"/>
        </w:tabs>
        <w:spacing w:before="20" w:after="20"/>
      </w:pPr>
      <w:r>
        <w:rPr>
          <w:color w:val="000000"/>
        </w:rPr>
        <w:t>List of Acronyms</w:t>
      </w:r>
      <w:r>
        <w:tab/>
      </w:r>
      <w:r>
        <w:rPr>
          <w:i/>
          <w:color w:val="000000"/>
        </w:rPr>
        <w:t>xii</w:t>
      </w:r>
    </w:p>
    <w:p>
      <w:pPr>
        <w:tabs>
          <w:tab w:val="right" w:leader="dot" w:pos="8666"/>
        </w:tabs>
        <w:spacing w:before="100" w:after="20"/>
      </w:pPr>
      <w:r>
        <w:rPr>
          <w:color w:val="000000"/>
        </w:rPr>
        <w:t>1 Introduction</w:t>
      </w:r>
      <w:r>
        <w:tab/>
      </w:r>
      <w:r>
        <w:rPr>
          <w:color w:val="000000"/>
        </w:rPr>
        <w:t>1</w:t>
      </w:r>
    </w:p>
    <w:p>
      <w:pPr>
        <w:tabs>
          <w:tab w:val="right" w:leader="dot" w:pos="8666"/>
        </w:tabs>
        <w:spacing w:before="20" w:after="20"/>
        <w:ind w:left="480"/>
      </w:pPr>
      <w:r>
        <w:rPr>
          <w:color w:val="000000"/>
        </w:rPr>
        <w:t>1.1 Background</w:t>
      </w:r>
      <w:r>
        <w:tab/>
      </w:r>
      <w:r>
        <w:rPr>
          <w:color w:val="000000"/>
        </w:rPr>
        <w:t>1</w:t>
      </w:r>
    </w:p>
    <w:p>
      <w:pPr>
        <w:tabs>
          <w:tab w:val="right" w:leader="dot" w:pos="8666"/>
        </w:tabs>
        <w:spacing w:before="20" w:after="20"/>
        <w:ind w:left="480"/>
      </w:pPr>
      <w:r>
        <w:rPr>
          <w:color w:val="000000"/>
        </w:rPr>
        <w:t>1.2 Motivation</w:t>
      </w:r>
      <w:r>
        <w:tab/>
      </w:r>
      <w:r>
        <w:rPr>
          <w:color w:val="000000"/>
        </w:rPr>
        <w:t>1</w:t>
      </w:r>
    </w:p>
    <w:p>
      <w:pPr>
        <w:tabs>
          <w:tab w:val="right" w:leader="dot" w:pos="8666"/>
        </w:tabs>
        <w:spacing w:before="20" w:after="20"/>
        <w:ind w:left="480"/>
      </w:pPr>
      <w:r>
        <w:rPr>
          <w:color w:val="000000"/>
        </w:rPr>
        <w:t>1.3 Problem Statement</w:t>
      </w:r>
      <w:r>
        <w:tab/>
      </w:r>
      <w:r>
        <w:rPr>
          <w:color w:val="000000"/>
        </w:rPr>
        <w:t>2</w:t>
      </w:r>
    </w:p>
    <w:p>
      <w:pPr>
        <w:tabs>
          <w:tab w:val="right" w:leader="dot" w:pos="8666"/>
        </w:tabs>
        <w:spacing w:before="20" w:after="20"/>
        <w:ind w:left="480"/>
      </w:pPr>
      <w:r>
        <w:rPr>
          <w:color w:val="000000"/>
        </w:rPr>
        <w:t>1.4 Objectives</w:t>
      </w:r>
      <w:r>
        <w:tab/>
      </w:r>
      <w:r>
        <w:rPr>
          <w:color w:val="000000"/>
        </w:rPr>
        <w:t>2</w:t>
      </w:r>
    </w:p>
    <w:p>
      <w:pPr>
        <w:tabs>
          <w:tab w:val="right" w:leader="dot" w:pos="8666"/>
        </w:tabs>
        <w:spacing w:before="20" w:after="20"/>
        <w:ind w:left="480"/>
      </w:pPr>
      <w:r>
        <w:rPr>
          <w:color w:val="000000"/>
        </w:rPr>
        <w:t>1.5 Scope of the Project</w:t>
      </w:r>
      <w:r>
        <w:tab/>
      </w:r>
      <w:r>
        <w:rPr>
          <w:color w:val="000000"/>
        </w:rPr>
        <w:t>2</w:t>
      </w:r>
    </w:p>
    <w:p>
      <w:pPr>
        <w:tabs>
          <w:tab w:val="right" w:leader="dot" w:pos="8666"/>
        </w:tabs>
        <w:spacing w:before="20" w:after="20"/>
        <w:ind w:left="480"/>
      </w:pPr>
      <w:r>
        <w:rPr>
          <w:color w:val="000000"/>
        </w:rPr>
        <w:t>1.6 Contributions</w:t>
      </w:r>
      <w:r>
        <w:tab/>
      </w:r>
      <w:r>
        <w:rPr>
          <w:color w:val="000000"/>
        </w:rPr>
        <w:t>3</w:t>
      </w:r>
    </w:p>
    <w:p>
      <w:pPr>
        <w:tabs>
          <w:tab w:val="right" w:leader="dot" w:pos="8666"/>
        </w:tabs>
        <w:spacing w:before="20" w:after="20"/>
        <w:ind w:left="480"/>
      </w:pPr>
      <w:r>
        <w:rPr>
          <w:color w:val="000000"/>
        </w:rPr>
        <w:t>1.7 Organisation of the Report</w:t>
      </w:r>
      <w:r>
        <w:tab/>
      </w:r>
      <w:r>
        <w:rPr>
          <w:color w:val="000000"/>
        </w:rPr>
        <w:t>3</w:t>
      </w:r>
    </w:p>
    <w:p>
      <w:pPr>
        <w:tabs>
          <w:tab w:val="right" w:leader="dot" w:pos="8666"/>
        </w:tabs>
        <w:spacing w:before="100" w:after="20"/>
      </w:pPr>
      <w:r>
        <w:rPr>
          <w:color w:val="000000"/>
        </w:rPr>
        <w:t>2 Literature Survey</w:t>
      </w:r>
      <w:r>
        <w:tab/>
      </w:r>
      <w:r>
        <w:rPr>
          <w:color w:val="000000"/>
        </w:rPr>
        <w:t>5</w:t>
      </w:r>
    </w:p>
    <w:p>
      <w:pPr>
        <w:tabs>
          <w:tab w:val="right" w:leader="dot" w:pos="8666"/>
        </w:tabs>
        <w:spacing w:before="20" w:after="20"/>
        <w:ind w:left="480"/>
      </w:pPr>
      <w:r>
        <w:rPr>
          <w:color w:val="000000"/>
        </w:rPr>
        <w:t>2.1 LLM Agents for Personal Health Data</w:t>
      </w:r>
      <w:r>
        <w:tab/>
      </w:r>
      <w:r>
        <w:rPr>
          <w:color w:val="000000"/>
        </w:rPr>
        <w:t>5</w:t>
      </w:r>
    </w:p>
    <w:p>
      <w:pPr>
        <w:tabs>
          <w:tab w:val="right" w:leader="dot" w:pos="8666"/>
        </w:tabs>
        <w:spacing w:before="20" w:after="20"/>
        <w:ind w:left="480"/>
      </w:pPr>
      <w:r>
        <w:rPr>
          <w:color w:val="000000"/>
        </w:rPr>
        <w:t>2.2 Reasoning and Self-Verification in LLMs</w:t>
      </w:r>
      <w:r>
        <w:tab/>
      </w:r>
      <w:r>
        <w:rPr>
          <w:color w:val="000000"/>
        </w:rPr>
        <w:t>5</w:t>
      </w:r>
    </w:p>
    <w:p>
      <w:pPr>
        <w:tabs>
          <w:tab w:val="right" w:leader="dot" w:pos="8666"/>
        </w:tabs>
        <w:spacing w:before="20" w:after="20"/>
        <w:ind w:left="480"/>
      </w:pPr>
      <w:r>
        <w:rPr>
          <w:color w:val="000000"/>
        </w:rPr>
        <w:t>2.3 Fall-Risk Factors and Personal Baselines</w:t>
      </w:r>
      <w:r>
        <w:tab/>
      </w:r>
      <w:r>
        <w:rPr>
          <w:color w:val="000000"/>
        </w:rPr>
        <w:t>6</w:t>
      </w:r>
    </w:p>
    <w:p>
      <w:pPr>
        <w:tabs>
          <w:tab w:val="right" w:leader="dot" w:pos="8666"/>
        </w:tabs>
        <w:spacing w:before="20" w:after="20"/>
        <w:ind w:left="480"/>
      </w:pPr>
      <w:r>
        <w:rPr>
          <w:color w:val="000000"/>
        </w:rPr>
        <w:t>2.4 Gait Analysis for Fall Risk</w:t>
      </w:r>
      <w:r>
        <w:tab/>
      </w:r>
      <w:r>
        <w:rPr>
          <w:color w:val="000000"/>
        </w:rPr>
        <w:t>6</w:t>
      </w:r>
    </w:p>
    <w:p>
      <w:pPr>
        <w:tabs>
          <w:tab w:val="right" w:leader="dot" w:pos="8666"/>
        </w:tabs>
        <w:spacing w:before="20" w:after="20"/>
        <w:ind w:left="480"/>
      </w:pPr>
      <w:r>
        <w:rPr>
          <w:color w:val="000000"/>
        </w:rPr>
        <w:t>2.5 Comparison of Existing Approaches</w:t>
      </w:r>
      <w:r>
        <w:tab/>
      </w:r>
      <w:r>
        <w:rPr>
          <w:color w:val="000000"/>
        </w:rPr>
        <w:t>7</w:t>
      </w:r>
    </w:p>
    <w:p>
      <w:pPr>
        <w:tabs>
          <w:tab w:val="right" w:leader="dot" w:pos="8666"/>
        </w:tabs>
        <w:spacing w:before="20" w:after="20"/>
        <w:ind w:left="480"/>
      </w:pPr>
      <w:r>
        <w:rPr>
          <w:color w:val="000000"/>
        </w:rPr>
        <w:t>2.6 Research Gaps Identified</w:t>
      </w:r>
      <w:r>
        <w:tab/>
      </w:r>
      <w:r>
        <w:rPr>
          <w:color w:val="000000"/>
        </w:rPr>
        <w:t>8</w:t>
      </w:r>
    </w:p>
    <w:p>
      <w:pPr>
        <w:tabs>
          <w:tab w:val="right" w:leader="dot" w:pos="8666"/>
        </w:tabs>
        <w:spacing w:before="100" w:after="20"/>
      </w:pPr>
      <w:r>
        <w:rPr>
          <w:color w:val="000000"/>
        </w:rPr>
        <w:t>3 Methodology and System Design</w:t>
      </w:r>
      <w:r>
        <w:tab/>
      </w:r>
      <w:r>
        <w:rPr>
          <w:color w:val="000000"/>
        </w:rPr>
        <w:t>9</w:t>
      </w:r>
    </w:p>
    <w:p>
      <w:pPr>
        <w:tabs>
          <w:tab w:val="right" w:leader="dot" w:pos="8666"/>
        </w:tabs>
        <w:spacing w:before="20" w:after="20"/>
        <w:ind w:left="480"/>
      </w:pPr>
      <w:r>
        <w:rPr>
          <w:color w:val="000000"/>
        </w:rPr>
        <w:t>3.1 Overview of the Proposed System</w:t>
      </w:r>
      <w:r>
        <w:tab/>
      </w:r>
      <w:r>
        <w:rPr>
          <w:color w:val="000000"/>
        </w:rPr>
        <w:t>9</w:t>
      </w:r>
    </w:p>
    <w:p>
      <w:pPr>
        <w:tabs>
          <w:tab w:val="right" w:leader="dot" w:pos="8666"/>
        </w:tabs>
        <w:spacing w:before="20" w:after="20"/>
        <w:ind w:left="480"/>
      </w:pPr>
      <w:r>
        <w:rPr>
          <w:color w:val="000000"/>
        </w:rPr>
        <w:t>3.2 Smart-Ring Application</w:t>
      </w:r>
      <w:r>
        <w:tab/>
      </w:r>
      <w:r>
        <w:rPr>
          <w:color w:val="000000"/>
        </w:rPr>
        <w:t>10</w:t>
      </w:r>
    </w:p>
    <w:p>
      <w:pPr>
        <w:tabs>
          <w:tab w:val="right" w:leader="dot" w:pos="8666"/>
        </w:tabs>
        <w:spacing w:before="20" w:after="20"/>
        <w:ind w:left="960"/>
      </w:pPr>
      <w:r>
        <w:rPr>
          <w:color w:val="000000"/>
        </w:rPr>
        <w:t>3.2.1 Data Acquisition</w:t>
      </w:r>
      <w:r>
        <w:tab/>
      </w:r>
      <w:r>
        <w:rPr>
          <w:color w:val="000000"/>
        </w:rPr>
        <w:t>10</w:t>
      </w:r>
    </w:p>
    <w:p>
      <w:pPr>
        <w:tabs>
          <w:tab w:val="right" w:leader="dot" w:pos="8666"/>
        </w:tabs>
        <w:spacing w:before="20" w:after="20"/>
        <w:ind w:left="960"/>
      </w:pPr>
      <w:r>
        <w:rPr>
          <w:color w:val="000000"/>
        </w:rPr>
        <w:t>3.2.2 Local Storage and Cloud Synchronisation</w:t>
      </w:r>
      <w:r>
        <w:tab/>
      </w:r>
      <w:r>
        <w:rPr>
          <w:color w:val="000000"/>
        </w:rPr>
        <w:t>10</w:t>
      </w:r>
    </w:p>
    <w:p>
      <w:pPr>
        <w:tabs>
          <w:tab w:val="right" w:leader="dot" w:pos="8666"/>
        </w:tabs>
        <w:spacing w:before="20" w:after="20"/>
        <w:ind w:left="960"/>
      </w:pPr>
      <w:r>
        <w:rPr>
          <w:color w:val="000000"/>
        </w:rPr>
        <w:t>3.2.3 Phone-Based Fall Detection</w:t>
      </w:r>
      <w:r>
        <w:tab/>
      </w:r>
      <w:r>
        <w:rPr>
          <w:color w:val="000000"/>
        </w:rPr>
        <w:t>10</w:t>
      </w:r>
    </w:p>
    <w:p>
      <w:pPr>
        <w:tabs>
          <w:tab w:val="right" w:leader="dot" w:pos="8666"/>
        </w:tabs>
        <w:spacing w:before="20" w:after="20"/>
        <w:ind w:left="960"/>
      </w:pPr>
      <w:r>
        <w:rPr>
          <w:color w:val="000000"/>
        </w:rPr>
        <w:t>3.2.4 User Interface</w:t>
      </w:r>
      <w:r>
        <w:tab/>
      </w:r>
      <w:r>
        <w:rPr>
          <w:color w:val="000000"/>
        </w:rPr>
        <w:t>10</w:t>
      </w:r>
    </w:p>
    <w:p>
      <w:pPr>
        <w:tabs>
          <w:tab w:val="right" w:leader="dot" w:pos="8666"/>
        </w:tabs>
        <w:spacing w:before="20" w:after="20"/>
        <w:ind w:left="480"/>
      </w:pPr>
      <w:r>
        <w:rPr>
          <w:color w:val="000000"/>
        </w:rPr>
        <w:t>3.3 Data Sources and Datasets</w:t>
      </w:r>
      <w:r>
        <w:tab/>
      </w:r>
      <w:r>
        <w:rPr>
          <w:color w:val="000000"/>
        </w:rPr>
        <w:t>11</w:t>
      </w:r>
    </w:p>
    <w:p>
      <w:pPr>
        <w:tabs>
          <w:tab w:val="right" w:leader="dot" w:pos="8666"/>
        </w:tabs>
        <w:spacing w:before="20" w:after="20"/>
        <w:ind w:left="960"/>
      </w:pPr>
      <w:r>
        <w:rPr>
          <w:color w:val="000000"/>
        </w:rPr>
        <w:t>3.3.1 PhysioNet Long Term Movement Monitoring Database</w:t>
      </w:r>
      <w:r>
        <w:tab/>
      </w:r>
      <w:r>
        <w:rPr>
          <w:color w:val="000000"/>
        </w:rPr>
        <w:t>12</w:t>
      </w:r>
    </w:p>
    <w:p>
      <w:pPr>
        <w:tabs>
          <w:tab w:val="right" w:leader="dot" w:pos="8666"/>
        </w:tabs>
        <w:spacing w:before="20" w:after="20"/>
        <w:ind w:left="960"/>
      </w:pPr>
      <w:r>
        <w:rPr>
          <w:color w:val="000000"/>
        </w:rPr>
        <w:t>3.3.2 Synthetic Demonstration Cohort</w:t>
      </w:r>
      <w:r>
        <w:tab/>
      </w:r>
      <w:r>
        <w:rPr>
          <w:color w:val="000000"/>
        </w:rPr>
        <w:t>12</w:t>
      </w:r>
    </w:p>
    <w:p>
      <w:pPr>
        <w:tabs>
          <w:tab w:val="right" w:leader="dot" w:pos="8666"/>
        </w:tabs>
        <w:spacing w:before="20" w:after="20"/>
        <w:ind w:left="480"/>
      </w:pPr>
      <w:r>
        <w:rPr>
          <w:color w:val="000000"/>
        </w:rPr>
        <w:t>3.4 Deterministic Fall-Risk Engine</w:t>
      </w:r>
      <w:r>
        <w:tab/>
      </w:r>
      <w:r>
        <w:rPr>
          <w:color w:val="000000"/>
        </w:rPr>
        <w:t>12</w:t>
      </w:r>
    </w:p>
    <w:p>
      <w:pPr>
        <w:tabs>
          <w:tab w:val="right" w:leader="dot" w:pos="8666"/>
        </w:tabs>
        <w:spacing w:before="20" w:after="20"/>
        <w:ind w:left="960"/>
      </w:pPr>
      <w:r>
        <w:rPr>
          <w:color w:val="000000"/>
        </w:rPr>
        <w:t>3.4.1 Inputs and Layers</w:t>
      </w:r>
      <w:r>
        <w:tab/>
      </w:r>
      <w:r>
        <w:rPr>
          <w:color w:val="000000"/>
        </w:rPr>
        <w:t>13</w:t>
      </w:r>
    </w:p>
    <w:p>
      <w:pPr>
        <w:tabs>
          <w:tab w:val="right" w:leader="dot" w:pos="8666"/>
        </w:tabs>
        <w:spacing w:before="20" w:after="20"/>
        <w:ind w:left="960"/>
      </w:pPr>
      <w:r>
        <w:rPr>
          <w:color w:val="000000"/>
        </w:rPr>
        <w:t>3.4.2 Personal Robust Baseline</w:t>
      </w:r>
      <w:r>
        <w:tab/>
      </w:r>
      <w:r>
        <w:rPr>
          <w:color w:val="000000"/>
        </w:rPr>
        <w:t>13</w:t>
      </w:r>
    </w:p>
    <w:p>
      <w:pPr>
        <w:tabs>
          <w:tab w:val="right" w:leader="dot" w:pos="8666"/>
        </w:tabs>
        <w:spacing w:before="20" w:after="20"/>
        <w:ind w:left="960"/>
      </w:pPr>
      <w:r>
        <w:rPr>
          <w:color w:val="000000"/>
        </w:rPr>
        <w:t>3.4.3 Cycle-Aware Baseline</w:t>
      </w:r>
      <w:r>
        <w:tab/>
      </w:r>
      <w:r>
        <w:rPr>
          <w:color w:val="000000"/>
        </w:rPr>
        <w:t>14</w:t>
      </w:r>
    </w:p>
    <w:p>
      <w:pPr>
        <w:tabs>
          <w:tab w:val="right" w:leader="dot" w:pos="8666"/>
        </w:tabs>
        <w:spacing w:before="20" w:after="20"/>
        <w:ind w:left="960"/>
      </w:pPr>
      <w:r>
        <w:rPr>
          <w:color w:val="000000"/>
        </w:rPr>
        <w:t>3.4.4 Deviation and Dead-Zone Strain</w:t>
      </w:r>
      <w:r>
        <w:tab/>
      </w:r>
      <w:r>
        <w:rPr>
          <w:color w:val="000000"/>
        </w:rPr>
        <w:t>14</w:t>
      </w:r>
    </w:p>
    <w:p>
      <w:pPr>
        <w:tabs>
          <w:tab w:val="right" w:leader="dot" w:pos="8666"/>
        </w:tabs>
        <w:spacing w:before="20" w:after="20"/>
        <w:ind w:left="960"/>
      </w:pPr>
      <w:r>
        <w:rPr>
          <w:color w:val="000000"/>
        </w:rPr>
        <w:t>3.4.5 Fall Events</w:t>
      </w:r>
      <w:r>
        <w:tab/>
      </w:r>
      <w:r>
        <w:rPr>
          <w:color w:val="000000"/>
        </w:rPr>
        <w:t>15</w:t>
      </w:r>
    </w:p>
    <w:p>
      <w:pPr>
        <w:tabs>
          <w:tab w:val="right" w:leader="dot" w:pos="8666"/>
        </w:tabs>
        <w:spacing w:before="20" w:after="20"/>
        <w:ind w:left="960"/>
      </w:pPr>
      <w:r>
        <w:rPr>
          <w:color w:val="000000"/>
        </w:rPr>
        <w:t>3.4.6 Layer Aggregation</w:t>
      </w:r>
      <w:r>
        <w:tab/>
      </w:r>
      <w:r>
        <w:rPr>
          <w:color w:val="000000"/>
        </w:rPr>
        <w:t>15</w:t>
      </w:r>
    </w:p>
    <w:p>
      <w:pPr>
        <w:tabs>
          <w:tab w:val="right" w:leader="dot" w:pos="8666"/>
        </w:tabs>
        <w:spacing w:before="20" w:after="20"/>
        <w:ind w:left="960"/>
      </w:pPr>
      <w:r>
        <w:rPr>
          <w:color w:val="000000"/>
        </w:rPr>
        <w:t>3.4.7 Evidence-Derived Layer Weights</w:t>
      </w:r>
      <w:r>
        <w:tab/>
      </w:r>
      <w:r>
        <w:rPr>
          <w:color w:val="000000"/>
        </w:rPr>
        <w:t>15</w:t>
      </w:r>
    </w:p>
    <w:p>
      <w:pPr>
        <w:tabs>
          <w:tab w:val="right" w:leader="dot" w:pos="8666"/>
        </w:tabs>
        <w:spacing w:before="20" w:after="20"/>
        <w:ind w:left="960"/>
      </w:pPr>
      <w:r>
        <w:rPr>
          <w:color w:val="000000"/>
        </w:rPr>
        <w:t>3.4.8 Coverage-Adaptive Weights and the Final Score</w:t>
      </w:r>
      <w:r>
        <w:tab/>
      </w:r>
      <w:r>
        <w:rPr>
          <w:color w:val="000000"/>
        </w:rPr>
        <w:t>16</w:t>
      </w:r>
    </w:p>
    <w:p>
      <w:pPr>
        <w:tabs>
          <w:tab w:val="right" w:leader="dot" w:pos="8666"/>
        </w:tabs>
        <w:spacing w:before="20" w:after="20"/>
        <w:ind w:left="960"/>
      </w:pPr>
      <w:r>
        <w:rPr>
          <w:color w:val="000000"/>
        </w:rPr>
        <w:t>3.4.9 Coverage and Confidence</w:t>
      </w:r>
      <w:r>
        <w:tab/>
      </w:r>
      <w:r>
        <w:rPr>
          <w:color w:val="000000"/>
        </w:rPr>
        <w:t>16</w:t>
      </w:r>
    </w:p>
    <w:p>
      <w:pPr>
        <w:tabs>
          <w:tab w:val="right" w:leader="dot" w:pos="8666"/>
        </w:tabs>
        <w:spacing w:before="20" w:after="20"/>
        <w:ind w:left="960"/>
      </w:pPr>
      <w:r>
        <w:rPr>
          <w:color w:val="000000"/>
        </w:rPr>
        <w:t>3.4.10 Additive Attribution</w:t>
      </w:r>
      <w:r>
        <w:tab/>
      </w:r>
      <w:r>
        <w:rPr>
          <w:color w:val="000000"/>
        </w:rPr>
        <w:t>16</w:t>
      </w:r>
    </w:p>
    <w:p>
      <w:pPr>
        <w:tabs>
          <w:tab w:val="right" w:leader="dot" w:pos="8666"/>
        </w:tabs>
        <w:spacing w:before="20" w:after="20"/>
        <w:ind w:left="480"/>
      </w:pPr>
      <w:r>
        <w:rPr>
          <w:color w:val="000000"/>
        </w:rPr>
        <w:t>3.5 Gait Signal Processing</w:t>
      </w:r>
      <w:r>
        <w:tab/>
      </w:r>
      <w:r>
        <w:rPr>
          <w:color w:val="000000"/>
        </w:rPr>
        <w:t>18</w:t>
      </w:r>
    </w:p>
    <w:p>
      <w:pPr>
        <w:tabs>
          <w:tab w:val="right" w:leader="dot" w:pos="8666"/>
        </w:tabs>
        <w:spacing w:before="20" w:after="20"/>
        <w:ind w:left="960"/>
      </w:pPr>
      <w:r>
        <w:rPr>
          <w:color w:val="000000"/>
        </w:rPr>
        <w:t>3.5.1 Version 1: Step Detection and Regularity</w:t>
      </w:r>
      <w:r>
        <w:tab/>
      </w:r>
      <w:r>
        <w:rPr>
          <w:color w:val="000000"/>
        </w:rPr>
        <w:t>19</w:t>
      </w:r>
    </w:p>
    <w:p>
      <w:pPr>
        <w:tabs>
          <w:tab w:val="right" w:leader="dot" w:pos="8666"/>
        </w:tabs>
        <w:spacing w:before="20" w:after="20"/>
        <w:ind w:left="960"/>
      </w:pPr>
      <w:r>
        <w:rPr>
          <w:color w:val="000000"/>
        </w:rPr>
        <w:t>3.5.2 Version 2: Turn Removal and Initial-Contact Detection</w:t>
      </w:r>
      <w:r>
        <w:tab/>
      </w:r>
      <w:r>
        <w:rPr>
          <w:color w:val="000000"/>
        </w:rPr>
        <w:t>19</w:t>
      </w:r>
    </w:p>
    <w:p>
      <w:pPr>
        <w:tabs>
          <w:tab w:val="right" w:leader="dot" w:pos="8666"/>
        </w:tabs>
        <w:spacing w:before="20" w:after="20"/>
        <w:ind w:left="960"/>
      </w:pPr>
      <w:r>
        <w:rPr>
          <w:color w:val="000000"/>
        </w:rPr>
        <w:t>3.5.3 Version 3 Features and the Gait Instability Index</w:t>
      </w:r>
      <w:r>
        <w:tab/>
      </w:r>
      <w:r>
        <w:rPr>
          <w:color w:val="000000"/>
        </w:rPr>
        <w:t>19</w:t>
      </w:r>
    </w:p>
    <w:p>
      <w:pPr>
        <w:tabs>
          <w:tab w:val="right" w:leader="dot" w:pos="8666"/>
        </w:tabs>
        <w:spacing w:before="20" w:after="20"/>
        <w:ind w:left="960"/>
      </w:pPr>
      <w:r>
        <w:rPr>
          <w:color w:val="000000"/>
        </w:rPr>
        <w:t>3.5.4 Daily-Life Walking Detection</w:t>
      </w:r>
      <w:r>
        <w:tab/>
      </w:r>
      <w:r>
        <w:rPr>
          <w:color w:val="000000"/>
        </w:rPr>
        <w:t>20</w:t>
      </w:r>
    </w:p>
    <w:p>
      <w:pPr>
        <w:tabs>
          <w:tab w:val="right" w:leader="dot" w:pos="8666"/>
        </w:tabs>
        <w:spacing w:before="20" w:after="20"/>
        <w:ind w:left="480"/>
      </w:pPr>
      <w:r>
        <w:rPr>
          <w:color w:val="000000"/>
        </w:rPr>
        <w:t>3.6 Explainable and Safety-Aware Agent</w:t>
      </w:r>
      <w:r>
        <w:tab/>
      </w:r>
      <w:r>
        <w:rPr>
          <w:color w:val="000000"/>
        </w:rPr>
        <w:t>20</w:t>
      </w:r>
    </w:p>
    <w:p>
      <w:pPr>
        <w:tabs>
          <w:tab w:val="right" w:leader="dot" w:pos="8666"/>
        </w:tabs>
        <w:spacing w:before="20" w:after="20"/>
        <w:ind w:left="960"/>
      </w:pPr>
      <w:r>
        <w:rPr>
          <w:color w:val="000000"/>
        </w:rPr>
        <w:t>3.6.1 Confidence-Scored Routing with Safety Widening</w:t>
      </w:r>
      <w:r>
        <w:tab/>
      </w:r>
      <w:r>
        <w:rPr>
          <w:color w:val="000000"/>
        </w:rPr>
        <w:t>22</w:t>
      </w:r>
    </w:p>
    <w:p>
      <w:pPr>
        <w:tabs>
          <w:tab w:val="right" w:leader="dot" w:pos="8666"/>
        </w:tabs>
        <w:spacing w:before="20" w:after="20"/>
        <w:ind w:left="960"/>
      </w:pPr>
      <w:r>
        <w:rPr>
          <w:color w:val="000000"/>
        </w:rPr>
        <w:t>3.6.2 Tri-Modal Safety Fusion</w:t>
      </w:r>
      <w:r>
        <w:tab/>
      </w:r>
      <w:r>
        <w:rPr>
          <w:color w:val="000000"/>
        </w:rPr>
        <w:t>22</w:t>
      </w:r>
    </w:p>
    <w:p>
      <w:pPr>
        <w:tabs>
          <w:tab w:val="right" w:leader="dot" w:pos="8666"/>
        </w:tabs>
        <w:spacing w:before="20" w:after="20"/>
        <w:ind w:left="960"/>
      </w:pPr>
      <w:r>
        <w:rPr>
          <w:color w:val="000000"/>
        </w:rPr>
        <w:t>3.6.3 Grounded Generation</w:t>
      </w:r>
      <w:r>
        <w:tab/>
      </w:r>
      <w:r>
        <w:rPr>
          <w:color w:val="000000"/>
        </w:rPr>
        <w:t>22</w:t>
      </w:r>
    </w:p>
    <w:p>
      <w:pPr>
        <w:tabs>
          <w:tab w:val="right" w:leader="dot" w:pos="8666"/>
        </w:tabs>
        <w:spacing w:before="20" w:after="20"/>
        <w:ind w:left="960"/>
      </w:pPr>
      <w:r>
        <w:rPr>
          <w:color w:val="000000"/>
        </w:rPr>
        <w:t>3.6.4 Closed-Loop Self-Verification</w:t>
      </w:r>
      <w:r>
        <w:tab/>
      </w:r>
      <w:r>
        <w:rPr>
          <w:color w:val="000000"/>
        </w:rPr>
        <w:t>23</w:t>
      </w:r>
    </w:p>
    <w:p>
      <w:pPr>
        <w:tabs>
          <w:tab w:val="right" w:leader="dot" w:pos="8666"/>
        </w:tabs>
        <w:spacing w:before="20" w:after="20"/>
        <w:ind w:left="960"/>
      </w:pPr>
      <w:r>
        <w:rPr>
          <w:color w:val="000000"/>
        </w:rPr>
        <w:t>3.6.5 Personal Correlations</w:t>
      </w:r>
      <w:r>
        <w:tab/>
      </w:r>
      <w:r>
        <w:rPr>
          <w:color w:val="000000"/>
        </w:rPr>
        <w:t>23</w:t>
      </w:r>
    </w:p>
    <w:p>
      <w:pPr>
        <w:tabs>
          <w:tab w:val="right" w:leader="dot" w:pos="8666"/>
        </w:tabs>
        <w:spacing w:before="20" w:after="20"/>
        <w:ind w:left="480"/>
      </w:pPr>
      <w:r>
        <w:rPr>
          <w:color w:val="000000"/>
        </w:rPr>
        <w:t>3.7 Evaluation Methodology</w:t>
      </w:r>
      <w:r>
        <w:tab/>
      </w:r>
      <w:r>
        <w:rPr>
          <w:color w:val="000000"/>
        </w:rPr>
        <w:t>23</w:t>
      </w:r>
    </w:p>
    <w:p>
      <w:pPr>
        <w:tabs>
          <w:tab w:val="right" w:leader="dot" w:pos="8666"/>
        </w:tabs>
        <w:spacing w:before="20" w:after="20"/>
        <w:ind w:left="960"/>
      </w:pPr>
      <w:r>
        <w:rPr>
          <w:color w:val="000000"/>
        </w:rPr>
        <w:t>3.7.1 Real-Data Experiments on LTMM</w:t>
      </w:r>
      <w:r>
        <w:tab/>
      </w:r>
      <w:r>
        <w:rPr>
          <w:color w:val="000000"/>
        </w:rPr>
        <w:t>23</w:t>
      </w:r>
    </w:p>
    <w:p>
      <w:pPr>
        <w:tabs>
          <w:tab w:val="right" w:leader="dot" w:pos="8666"/>
        </w:tabs>
        <w:spacing w:before="20" w:after="20"/>
        <w:ind w:left="960"/>
      </w:pPr>
      <w:r>
        <w:rPr>
          <w:color w:val="000000"/>
        </w:rPr>
        <w:t>3.7.2 Engine Analysis</w:t>
      </w:r>
      <w:r>
        <w:tab/>
      </w:r>
      <w:r>
        <w:rPr>
          <w:color w:val="000000"/>
        </w:rPr>
        <w:t>24</w:t>
      </w:r>
    </w:p>
    <w:p>
      <w:pPr>
        <w:tabs>
          <w:tab w:val="right" w:leader="dot" w:pos="8666"/>
        </w:tabs>
        <w:spacing w:before="20" w:after="20"/>
        <w:ind w:left="960"/>
      </w:pPr>
      <w:r>
        <w:rPr>
          <w:color w:val="000000"/>
        </w:rPr>
        <w:t>3.7.3 Agent Evaluation</w:t>
      </w:r>
      <w:r>
        <w:tab/>
      </w:r>
      <w:r>
        <w:rPr>
          <w:color w:val="000000"/>
        </w:rPr>
        <w:t>24</w:t>
      </w:r>
    </w:p>
    <w:p>
      <w:pPr>
        <w:tabs>
          <w:tab w:val="right" w:leader="dot" w:pos="8666"/>
        </w:tabs>
        <w:spacing w:before="20" w:after="20"/>
        <w:ind w:left="480"/>
      </w:pPr>
      <w:r>
        <w:rPr>
          <w:color w:val="000000"/>
        </w:rPr>
        <w:t>3.8 Algorithm</w:t>
      </w:r>
      <w:r>
        <w:tab/>
      </w:r>
      <w:r>
        <w:rPr>
          <w:color w:val="000000"/>
        </w:rPr>
        <w:t>24</w:t>
      </w:r>
    </w:p>
    <w:p>
      <w:pPr>
        <w:tabs>
          <w:tab w:val="right" w:leader="dot" w:pos="8666"/>
        </w:tabs>
        <w:spacing w:before="20" w:after="20"/>
        <w:ind w:left="480"/>
      </w:pPr>
      <w:r>
        <w:rPr>
          <w:color w:val="000000"/>
        </w:rPr>
        <w:t>3.9 Tools and Technologies</w:t>
      </w:r>
      <w:r>
        <w:tab/>
      </w:r>
      <w:r>
        <w:rPr>
          <w:color w:val="000000"/>
        </w:rPr>
        <w:t>25</w:t>
      </w:r>
    </w:p>
    <w:p>
      <w:pPr>
        <w:tabs>
          <w:tab w:val="right" w:leader="dot" w:pos="8666"/>
        </w:tabs>
        <w:spacing w:before="100" w:after="20"/>
      </w:pPr>
      <w:r>
        <w:rPr>
          <w:color w:val="000000"/>
        </w:rPr>
        <w:t>4 Implementation, Results and Discussion</w:t>
      </w:r>
      <w:r>
        <w:tab/>
      </w:r>
      <w:r>
        <w:rPr>
          <w:color w:val="000000"/>
        </w:rPr>
        <w:t>26</w:t>
      </w:r>
    </w:p>
    <w:p>
      <w:pPr>
        <w:tabs>
          <w:tab w:val="right" w:leader="dot" w:pos="8666"/>
        </w:tabs>
        <w:spacing w:before="20" w:after="20"/>
        <w:ind w:left="480"/>
      </w:pPr>
      <w:r>
        <w:rPr>
          <w:color w:val="000000"/>
        </w:rPr>
        <w:t>4.1 Implementation Overview</w:t>
      </w:r>
      <w:r>
        <w:tab/>
      </w:r>
      <w:r>
        <w:rPr>
          <w:color w:val="000000"/>
        </w:rPr>
        <w:t>26</w:t>
      </w:r>
    </w:p>
    <w:p>
      <w:pPr>
        <w:tabs>
          <w:tab w:val="right" w:leader="dot" w:pos="8666"/>
        </w:tabs>
        <w:spacing w:before="20" w:after="20"/>
        <w:ind w:left="480"/>
      </w:pPr>
      <w:r>
        <w:rPr>
          <w:color w:val="000000"/>
        </w:rPr>
        <w:t>4.2 Evidence-Derived Layer Weights</w:t>
      </w:r>
      <w:r>
        <w:tab/>
      </w:r>
      <w:r>
        <w:rPr>
          <w:color w:val="000000"/>
        </w:rPr>
        <w:t>26</w:t>
      </w:r>
    </w:p>
    <w:p>
      <w:pPr>
        <w:tabs>
          <w:tab w:val="right" w:leader="dot" w:pos="8666"/>
        </w:tabs>
        <w:spacing w:before="20" w:after="20"/>
        <w:ind w:left="480"/>
      </w:pPr>
      <w:r>
        <w:rPr>
          <w:color w:val="000000"/>
        </w:rPr>
        <w:t>4.3 Fall-Risk Engine on the Demonstration Cohort</w:t>
      </w:r>
      <w:r>
        <w:tab/>
      </w:r>
      <w:r>
        <w:rPr>
          <w:color w:val="000000"/>
        </w:rPr>
        <w:t>27</w:t>
      </w:r>
    </w:p>
    <w:p>
      <w:pPr>
        <w:tabs>
          <w:tab w:val="right" w:leader="dot" w:pos="8666"/>
        </w:tabs>
        <w:spacing w:before="20" w:after="20"/>
        <w:ind w:left="480"/>
      </w:pPr>
      <w:r>
        <w:rPr>
          <w:color w:val="000000"/>
        </w:rPr>
        <w:t>4.4 Cycle-Aware Baseline Ablation</w:t>
      </w:r>
      <w:r>
        <w:tab/>
      </w:r>
      <w:r>
        <w:rPr>
          <w:color w:val="000000"/>
        </w:rPr>
        <w:t>28</w:t>
      </w:r>
    </w:p>
    <w:p>
      <w:pPr>
        <w:tabs>
          <w:tab w:val="right" w:leader="dot" w:pos="8666"/>
        </w:tabs>
        <w:spacing w:before="20" w:after="20"/>
        <w:ind w:left="480"/>
      </w:pPr>
      <w:r>
        <w:rPr>
          <w:color w:val="000000"/>
        </w:rPr>
        <w:t>4.5 Gait Detector Validation</w:t>
      </w:r>
      <w:r>
        <w:tab/>
      </w:r>
      <w:r>
        <w:rPr>
          <w:color w:val="000000"/>
        </w:rPr>
        <w:t>29</w:t>
      </w:r>
    </w:p>
    <w:p>
      <w:pPr>
        <w:tabs>
          <w:tab w:val="right" w:leader="dot" w:pos="8666"/>
        </w:tabs>
        <w:spacing w:before="20" w:after="20"/>
        <w:ind w:left="480"/>
      </w:pPr>
      <w:r>
        <w:rPr>
          <w:color w:val="000000"/>
        </w:rPr>
        <w:t>4.6 Experiment 1: Untrained Gait Index on Real Data</w:t>
      </w:r>
      <w:r>
        <w:tab/>
      </w:r>
      <w:r>
        <w:rPr>
          <w:color w:val="000000"/>
        </w:rPr>
        <w:t>30</w:t>
      </w:r>
    </w:p>
    <w:p>
      <w:pPr>
        <w:tabs>
          <w:tab w:val="right" w:leader="dot" w:pos="8666"/>
        </w:tabs>
        <w:spacing w:before="20" w:after="20"/>
        <w:ind w:left="480"/>
      </w:pPr>
      <w:r>
        <w:rPr>
          <w:color w:val="000000"/>
        </w:rPr>
        <w:t>4.7 Experiment 2: Pre-Registered Models</w:t>
      </w:r>
      <w:r>
        <w:tab/>
      </w:r>
      <w:r>
        <w:rPr>
          <w:color w:val="000000"/>
        </w:rPr>
        <w:t>32</w:t>
      </w:r>
    </w:p>
    <w:p>
      <w:pPr>
        <w:tabs>
          <w:tab w:val="right" w:leader="dot" w:pos="8666"/>
        </w:tabs>
        <w:spacing w:before="20" w:after="20"/>
        <w:ind w:left="480"/>
      </w:pPr>
      <w:r>
        <w:rPr>
          <w:color w:val="000000"/>
        </w:rPr>
        <w:t>4.8 Experiment 3: Daily-Life Walking</w:t>
      </w:r>
      <w:r>
        <w:tab/>
      </w:r>
      <w:r>
        <w:rPr>
          <w:color w:val="000000"/>
        </w:rPr>
        <w:t>33</w:t>
      </w:r>
    </w:p>
    <w:p>
      <w:pPr>
        <w:tabs>
          <w:tab w:val="right" w:leader="dot" w:pos="8666"/>
        </w:tabs>
        <w:spacing w:before="20" w:after="20"/>
        <w:ind w:left="480"/>
      </w:pPr>
      <w:r>
        <w:rPr>
          <w:color w:val="000000"/>
        </w:rPr>
        <w:t>4.9 Agent Evaluation</w:t>
      </w:r>
      <w:r>
        <w:tab/>
      </w:r>
      <w:r>
        <w:rPr>
          <w:color w:val="000000"/>
        </w:rPr>
        <w:t>34</w:t>
      </w:r>
    </w:p>
    <w:p>
      <w:pPr>
        <w:tabs>
          <w:tab w:val="right" w:leader="dot" w:pos="8666"/>
        </w:tabs>
        <w:spacing w:before="20" w:after="20"/>
        <w:ind w:left="480"/>
      </w:pPr>
      <w:r>
        <w:rPr>
          <w:color w:val="000000"/>
        </w:rPr>
        <w:t>4.10 Testing and Validation</w:t>
      </w:r>
      <w:r>
        <w:tab/>
      </w:r>
      <w:r>
        <w:rPr>
          <w:color w:val="000000"/>
        </w:rPr>
        <w:t>36</w:t>
      </w:r>
    </w:p>
    <w:p>
      <w:pPr>
        <w:tabs>
          <w:tab w:val="right" w:leader="dot" w:pos="8666"/>
        </w:tabs>
        <w:spacing w:before="20" w:after="20"/>
        <w:ind w:left="480"/>
      </w:pPr>
      <w:r>
        <w:rPr>
          <w:color w:val="000000"/>
        </w:rPr>
        <w:t>4.11 Discussion</w:t>
      </w:r>
      <w:r>
        <w:tab/>
      </w:r>
      <w:r>
        <w:rPr>
          <w:color w:val="000000"/>
        </w:rPr>
        <w:t>36</w:t>
      </w:r>
    </w:p>
    <w:p>
      <w:pPr>
        <w:tabs>
          <w:tab w:val="right" w:leader="dot" w:pos="8666"/>
        </w:tabs>
        <w:spacing w:before="20" w:after="20"/>
        <w:ind w:left="480"/>
      </w:pPr>
      <w:r>
        <w:rPr>
          <w:color w:val="000000"/>
        </w:rPr>
        <w:t>4.12 Limitations</w:t>
      </w:r>
      <w:r>
        <w:tab/>
      </w:r>
      <w:r>
        <w:rPr>
          <w:color w:val="000000"/>
        </w:rPr>
        <w:t>37</w:t>
      </w:r>
    </w:p>
    <w:p>
      <w:pPr>
        <w:tabs>
          <w:tab w:val="right" w:leader="dot" w:pos="8666"/>
        </w:tabs>
        <w:spacing w:before="100" w:after="20"/>
      </w:pPr>
      <w:r>
        <w:rPr>
          <w:color w:val="000000"/>
        </w:rPr>
        <w:t>5 Conclusion and Future Work</w:t>
      </w:r>
      <w:r>
        <w:tab/>
      </w:r>
      <w:r>
        <w:rPr>
          <w:color w:val="000000"/>
        </w:rPr>
        <w:t>39</w:t>
      </w:r>
    </w:p>
    <w:p>
      <w:pPr>
        <w:tabs>
          <w:tab w:val="right" w:leader="dot" w:pos="8666"/>
        </w:tabs>
        <w:spacing w:before="20" w:after="20"/>
        <w:ind w:left="480"/>
      </w:pPr>
      <w:r>
        <w:rPr>
          <w:color w:val="000000"/>
        </w:rPr>
        <w:t>5.1 Summary of Work Completed</w:t>
      </w:r>
      <w:r>
        <w:tab/>
      </w:r>
      <w:r>
        <w:rPr>
          <w:color w:val="000000"/>
        </w:rPr>
        <w:t>39</w:t>
      </w:r>
    </w:p>
    <w:p>
      <w:pPr>
        <w:tabs>
          <w:tab w:val="right" w:leader="dot" w:pos="8666"/>
        </w:tabs>
        <w:spacing w:before="20" w:after="20"/>
        <w:ind w:left="480"/>
      </w:pPr>
      <w:r>
        <w:rPr>
          <w:color w:val="000000"/>
        </w:rPr>
        <w:t>5.2 Major Findings</w:t>
      </w:r>
      <w:r>
        <w:tab/>
      </w:r>
      <w:r>
        <w:rPr>
          <w:color w:val="000000"/>
        </w:rPr>
        <w:t>39</w:t>
      </w:r>
    </w:p>
    <w:p>
      <w:pPr>
        <w:tabs>
          <w:tab w:val="right" w:leader="dot" w:pos="8666"/>
        </w:tabs>
        <w:spacing w:before="20" w:after="20"/>
        <w:ind w:left="480"/>
      </w:pPr>
      <w:r>
        <w:rPr>
          <w:color w:val="000000"/>
        </w:rPr>
        <w:t>5.3 Conclusion</w:t>
      </w:r>
      <w:r>
        <w:tab/>
      </w:r>
      <w:r>
        <w:rPr>
          <w:color w:val="000000"/>
        </w:rPr>
        <w:t>39</w:t>
      </w:r>
    </w:p>
    <w:p>
      <w:pPr>
        <w:tabs>
          <w:tab w:val="right" w:leader="dot" w:pos="8666"/>
        </w:tabs>
        <w:spacing w:before="20" w:after="20"/>
        <w:ind w:left="480"/>
      </w:pPr>
      <w:r>
        <w:rPr>
          <w:color w:val="000000"/>
        </w:rPr>
        <w:t>5.4 Future Enhancements</w:t>
      </w:r>
      <w:r>
        <w:tab/>
      </w:r>
      <w:r>
        <w:rPr>
          <w:color w:val="000000"/>
        </w:rPr>
        <w:t>40</w:t>
      </w:r>
    </w:p>
    <w:p>
      <w:pPr>
        <w:tabs>
          <w:tab w:val="right" w:leader="dot" w:pos="8666"/>
        </w:tabs>
        <w:spacing w:before="100" w:after="20"/>
      </w:pPr>
      <w:r>
        <w:rPr>
          <w:color w:val="000000"/>
        </w:rPr>
        <w:t>Appendix</w:t>
      </w:r>
      <w:r>
        <w:tab/>
      </w:r>
      <w:r>
        <w:rPr>
          <w:color w:val="000000"/>
        </w:rPr>
        <w:t>41</w:t>
      </w:r>
    </w:p>
    <w:p>
      <w:pPr>
        <w:tabs>
          <w:tab w:val="right" w:leader="dot" w:pos="8666"/>
        </w:tabs>
        <w:spacing w:before="100" w:after="20"/>
      </w:pPr>
      <w:r>
        <w:rPr>
          <w:color w:val="000000"/>
        </w:rPr>
        <w:t>Bibliography</w:t>
      </w:r>
      <w:r>
        <w:tab/>
      </w:r>
      <w:r>
        <w:rPr>
          <w:color w:val="000000"/>
        </w:rPr>
        <w:t>43</w:t>
      </w:r>
    </w:p>
    <w:p>
      <w:pPr>
        <w:tabs>
          <w:tab w:val="right" w:leader="dot" w:pos="8666"/>
        </w:tabs>
        <w:spacing w:before="100" w:after="20"/>
      </w:pPr>
      <w:r>
        <w:rPr>
          <w:color w:val="000000"/>
        </w:rPr>
        <w:t>Biodata</w:t>
      </w:r>
      <w:r>
        <w:tab/>
      </w:r>
      <w:r>
        <w:rPr>
          <w:color w:val="000000"/>
        </w:rPr>
        <w:t>45</w:t>
      </w:r>
    </w:p>
    <w:p>
      <w:pPr>
        <w:pageBreakBefore/>
        <w:spacing w:before="80" w:after="400"/>
        <w:jc w:val="center"/>
      </w:pPr>
      <w:r>
        <w:rPr>
          <w:b/>
          <w:color w:val="000000"/>
          <w:sz w:val="32"/>
        </w:rPr>
        <w:t>List of Figures</w:t>
      </w:r>
    </w:p>
    <w:p>
      <w:pPr>
        <w:tabs>
          <w:tab w:val="right" w:leader="dot" w:pos="8666"/>
        </w:tabs>
        <w:spacing w:before="20" w:after="20"/>
      </w:pPr>
      <w:r>
        <w:rPr>
          <w:color w:val="000000"/>
        </w:rPr>
        <w:t>3.1 Overall architecture of the system</w:t>
      </w:r>
      <w:r>
        <w:tab/>
      </w:r>
      <w:r>
        <w:rPr>
          <w:color w:val="000000"/>
        </w:rPr>
        <w:t>9</w:t>
      </w:r>
    </w:p>
    <w:p>
      <w:pPr>
        <w:tabs>
          <w:tab w:val="right" w:leader="dot" w:pos="8666"/>
        </w:tabs>
        <w:spacing w:before="20" w:after="20"/>
      </w:pPr>
      <w:r>
        <w:rPr>
          <w:color w:val="000000"/>
        </w:rPr>
        <w:t>3.2 Home dashboard with vital-sign cards</w:t>
      </w:r>
      <w:r>
        <w:tab/>
      </w:r>
      <w:r>
        <w:rPr>
          <w:color w:val="000000"/>
        </w:rPr>
        <w:t>11</w:t>
      </w:r>
    </w:p>
    <w:p>
      <w:pPr>
        <w:tabs>
          <w:tab w:val="right" w:leader="dot" w:pos="8666"/>
        </w:tabs>
        <w:spacing w:before="20" w:after="20"/>
      </w:pPr>
      <w:r>
        <w:rPr>
          <w:color w:val="000000"/>
        </w:rPr>
        <w:t>3.3 AI Assist conversation with a data card</w:t>
      </w:r>
      <w:r>
        <w:tab/>
      </w:r>
      <w:r>
        <w:rPr>
          <w:color w:val="000000"/>
        </w:rPr>
        <w:t>11</w:t>
      </w:r>
    </w:p>
    <w:p>
      <w:pPr>
        <w:tabs>
          <w:tab w:val="right" w:leader="dot" w:pos="8666"/>
        </w:tabs>
        <w:spacing w:before="20" w:after="20"/>
      </w:pPr>
      <w:r>
        <w:rPr>
          <w:color w:val="000000"/>
        </w:rPr>
        <w:t>3.4 Fall Risk page and score explanation</w:t>
      </w:r>
      <w:r>
        <w:tab/>
      </w:r>
      <w:r>
        <w:rPr>
          <w:color w:val="000000"/>
        </w:rPr>
        <w:t>11</w:t>
      </w:r>
    </w:p>
    <w:p>
      <w:pPr>
        <w:tabs>
          <w:tab w:val="right" w:leader="dot" w:pos="8666"/>
        </w:tabs>
        <w:spacing w:before="20" w:after="20"/>
      </w:pPr>
      <w:r>
        <w:rPr>
          <w:color w:val="000000"/>
        </w:rPr>
        <w:t>3.5 Dead-zone mapping from deviation to strain</w:t>
      </w:r>
      <w:r>
        <w:tab/>
      </w:r>
      <w:r>
        <w:rPr>
          <w:color w:val="000000"/>
        </w:rPr>
        <w:t>14</w:t>
      </w:r>
    </w:p>
    <w:p>
      <w:pPr>
        <w:tabs>
          <w:tab w:val="right" w:leader="dot" w:pos="8666"/>
        </w:tabs>
        <w:spacing w:before="20" w:after="20"/>
      </w:pPr>
      <w:r>
        <w:rPr>
          <w:color w:val="000000"/>
        </w:rPr>
        <w:t>3.6 Engine walk-through, step 1: today’s values against the personal 28-day baseline</w:t>
      </w:r>
      <w:r>
        <w:tab/>
      </w:r>
      <w:r>
        <w:rPr>
          <w:color w:val="000000"/>
        </w:rPr>
        <w:t>17</w:t>
      </w:r>
    </w:p>
    <w:p>
      <w:pPr>
        <w:tabs>
          <w:tab w:val="right" w:leader="dot" w:pos="8666"/>
        </w:tabs>
        <w:spacing w:before="20" w:after="20"/>
      </w:pPr>
      <w:r>
        <w:rPr>
          <w:color w:val="000000"/>
        </w:rPr>
        <w:t>3.7 Engine walk-through, step 3: dead-zone strain for each feature</w:t>
      </w:r>
      <w:r>
        <w:tab/>
      </w:r>
      <w:r>
        <w:rPr>
          <w:color w:val="000000"/>
        </w:rPr>
        <w:t>17</w:t>
      </w:r>
    </w:p>
    <w:p>
      <w:pPr>
        <w:tabs>
          <w:tab w:val="right" w:leader="dot" w:pos="8666"/>
        </w:tabs>
        <w:spacing w:before="20" w:after="20"/>
      </w:pPr>
      <w:r>
        <w:rPr>
          <w:color w:val="000000"/>
        </w:rPr>
        <w:t>3.8 Engine walk-through, step 4: layer risks and evidence-derived weights</w:t>
      </w:r>
      <w:r>
        <w:tab/>
      </w:r>
      <w:r>
        <w:rPr>
          <w:color w:val="000000"/>
        </w:rPr>
        <w:t>18</w:t>
      </w:r>
    </w:p>
    <w:p>
      <w:pPr>
        <w:tabs>
          <w:tab w:val="right" w:leader="dot" w:pos="8666"/>
        </w:tabs>
        <w:spacing w:before="20" w:after="20"/>
      </w:pPr>
      <w:r>
        <w:rPr>
          <w:color w:val="000000"/>
        </w:rPr>
        <w:t>3.9 Engine walk-through, step 5: additive contributions summing to the score</w:t>
      </w:r>
      <w:r>
        <w:tab/>
      </w:r>
      <w:r>
        <w:rPr>
          <w:color w:val="000000"/>
        </w:rPr>
        <w:t>18</w:t>
      </w:r>
    </w:p>
    <w:p>
      <w:pPr>
        <w:tabs>
          <w:tab w:val="right" w:leader="dot" w:pos="8666"/>
        </w:tabs>
        <w:spacing w:before="20" w:after="20"/>
      </w:pPr>
      <w:r>
        <w:rPr>
          <w:color w:val="000000"/>
        </w:rPr>
        <w:t>3.10 Pipeline of the agent (rotated)</w:t>
      </w:r>
      <w:r>
        <w:tab/>
      </w:r>
      <w:r>
        <w:rPr>
          <w:color w:val="000000"/>
        </w:rPr>
        <w:t>21</w:t>
      </w:r>
    </w:p>
    <w:p>
      <w:pPr>
        <w:tabs>
          <w:tab w:val="right" w:leader="dot" w:pos="8666"/>
        </w:tabs>
        <w:spacing w:before="20" w:after="20"/>
      </w:pPr>
      <w:r>
        <w:rPr>
          <w:color w:val="000000"/>
        </w:rPr>
        <w:t>4.1 Evidence-derived layer weights, λ ∝ ln(published risk ratio)</w:t>
      </w:r>
      <w:r>
        <w:tab/>
      </w:r>
      <w:r>
        <w:rPr>
          <w:color w:val="000000"/>
        </w:rPr>
        <w:t>27</w:t>
      </w:r>
    </w:p>
    <w:p>
      <w:pPr>
        <w:tabs>
          <w:tab w:val="right" w:leader="dot" w:pos="8666"/>
        </w:tabs>
        <w:spacing w:before="20" w:after="20"/>
      </w:pPr>
      <w:r>
        <w:rPr>
          <w:color w:val="000000"/>
        </w:rPr>
        <w:t>4.2 21-day Fall Risk Score trajectory of each demonstration user</w:t>
      </w:r>
      <w:r>
        <w:tab/>
      </w:r>
      <w:r>
        <w:rPr>
          <w:color w:val="000000"/>
        </w:rPr>
        <w:t>28</w:t>
      </w:r>
    </w:p>
    <w:p>
      <w:pPr>
        <w:tabs>
          <w:tab w:val="right" w:leader="dot" w:pos="8666"/>
        </w:tabs>
        <w:spacing w:before="20" w:after="20"/>
      </w:pPr>
      <w:r>
        <w:rPr>
          <w:color w:val="000000"/>
        </w:rPr>
        <w:t>4.3 Additive attribution: contributions sum exactly to the score</w:t>
      </w:r>
      <w:r>
        <w:tab/>
      </w:r>
      <w:r>
        <w:rPr>
          <w:color w:val="000000"/>
        </w:rPr>
        <w:t>28</w:t>
      </w:r>
    </w:p>
    <w:p>
      <w:pPr>
        <w:tabs>
          <w:tab w:val="right" w:leader="dot" w:pos="8666"/>
        </w:tabs>
        <w:spacing w:before="20" w:after="20"/>
      </w:pPr>
      <w:r>
        <w:rPr>
          <w:color w:val="000000"/>
        </w:rPr>
        <w:t>4.4 Cycle-aware baselines suppress normal luteal changes but keep genuine strain</w:t>
      </w:r>
      <w:r>
        <w:tab/>
      </w:r>
      <w:r>
        <w:rPr>
          <w:color w:val="000000"/>
        </w:rPr>
        <w:t>29</w:t>
      </w:r>
    </w:p>
    <w:p>
      <w:pPr>
        <w:tabs>
          <w:tab w:val="right" w:leader="dot" w:pos="8666"/>
        </w:tabs>
        <w:spacing w:before="20" w:after="20"/>
      </w:pPr>
      <w:r>
        <w:rPr>
          <w:color w:val="000000"/>
        </w:rPr>
        <w:t>4.5 Detector validation on synthetic ground truth</w:t>
      </w:r>
      <w:r>
        <w:tab/>
      </w:r>
      <w:r>
        <w:rPr>
          <w:color w:val="000000"/>
        </w:rPr>
        <w:t>30</w:t>
      </w:r>
    </w:p>
    <w:p>
      <w:pPr>
        <w:tabs>
          <w:tab w:val="right" w:leader="dot" w:pos="8666"/>
        </w:tabs>
        <w:spacing w:before="20" w:after="20"/>
      </w:pPr>
      <w:r>
        <w:rPr>
          <w:color w:val="000000"/>
        </w:rPr>
        <w:t>4.6 Gait variability on real LTMM walks before and after the signal-quality fix</w:t>
      </w:r>
      <w:r>
        <w:tab/>
      </w:r>
      <w:r>
        <w:rPr>
          <w:color w:val="000000"/>
        </w:rPr>
        <w:t>30</w:t>
      </w:r>
    </w:p>
    <w:p>
      <w:pPr>
        <w:tabs>
          <w:tab w:val="right" w:leader="dot" w:pos="8666"/>
        </w:tabs>
        <w:spacing w:before="20" w:after="20"/>
      </w:pPr>
      <w:r>
        <w:rPr>
          <w:color w:val="000000"/>
        </w:rPr>
        <w:t>4.7 ROC curves on real LTMM data: gait indices against clinical tests</w:t>
      </w:r>
      <w:r>
        <w:tab/>
      </w:r>
      <w:r>
        <w:rPr>
          <w:color w:val="000000"/>
        </w:rPr>
        <w:t>32</w:t>
      </w:r>
    </w:p>
    <w:p>
      <w:pPr>
        <w:tabs>
          <w:tab w:val="right" w:leader="dot" w:pos="8666"/>
        </w:tabs>
        <w:spacing w:before="20" w:after="20"/>
      </w:pPr>
      <w:r>
        <w:rPr>
          <w:color w:val="000000"/>
        </w:rPr>
        <w:t>4.8 Per-feature AUC of the version 2 gait features (no training on labels)</w:t>
      </w:r>
      <w:r>
        <w:tab/>
      </w:r>
      <w:r>
        <w:rPr>
          <w:color w:val="000000"/>
        </w:rPr>
        <w:t>32</w:t>
      </w:r>
    </w:p>
    <w:p>
      <w:pPr>
        <w:tabs>
          <w:tab w:val="right" w:leader="dot" w:pos="8666"/>
        </w:tabs>
        <w:spacing w:before="20" w:after="20"/>
      </w:pPr>
      <w:r>
        <w:rPr>
          <w:color w:val="000000"/>
        </w:rPr>
        <w:t>4.9 Experiment 2: all pre-registered models (subject-wise cross-validation)</w:t>
      </w:r>
      <w:r>
        <w:tab/>
      </w:r>
      <w:r>
        <w:rPr>
          <w:color w:val="000000"/>
        </w:rPr>
        <w:t>33</w:t>
      </w:r>
    </w:p>
    <w:p>
      <w:pPr>
        <w:tabs>
          <w:tab w:val="right" w:leader="dot" w:pos="8666"/>
        </w:tabs>
        <w:spacing w:before="20" w:after="20"/>
      </w:pPr>
      <w:r>
        <w:rPr>
          <w:color w:val="000000"/>
        </w:rPr>
        <w:t>4.10 Experiment 3: lab and daily-life gait models</w:t>
      </w:r>
      <w:r>
        <w:tab/>
      </w:r>
      <w:r>
        <w:rPr>
          <w:color w:val="000000"/>
        </w:rPr>
        <w:t>34</w:t>
      </w:r>
    </w:p>
    <w:p>
      <w:pPr>
        <w:tabs>
          <w:tab w:val="right" w:leader="dot" w:pos="8666"/>
        </w:tabs>
        <w:spacing w:before="20" w:after="20"/>
      </w:pPr>
      <w:r>
        <w:rPr>
          <w:color w:val="000000"/>
        </w:rPr>
        <w:t>4.11 Emergency recall and false-alarm rate of the four versions</w:t>
      </w:r>
      <w:r>
        <w:tab/>
      </w:r>
      <w:r>
        <w:rPr>
          <w:color w:val="000000"/>
        </w:rPr>
        <w:t>35</w:t>
      </w:r>
    </w:p>
    <w:p>
      <w:pPr>
        <w:tabs>
          <w:tab w:val="right" w:leader="dot" w:pos="8666"/>
        </w:tabs>
        <w:spacing w:before="20" w:after="20"/>
      </w:pPr>
      <w:r>
        <w:rPr>
          <w:color w:val="000000"/>
        </w:rPr>
        <w:t>4.12 Strict numeric grounding on personal fall-risk queries</w:t>
      </w:r>
      <w:r>
        <w:tab/>
      </w:r>
      <w:r>
        <w:rPr>
          <w:color w:val="000000"/>
        </w:rPr>
        <w:t>35</w:t>
      </w:r>
    </w:p>
    <w:p>
      <w:pPr>
        <w:tabs>
          <w:tab w:val="right" w:leader="dot" w:pos="8666"/>
        </w:tabs>
        <w:spacing w:before="20" w:after="20"/>
      </w:pPr>
      <w:r>
        <w:rPr>
          <w:color w:val="000000"/>
        </w:rPr>
        <w:t>4.13 Demonstration: the stale-data user is told that the estimate is less reliable</w:t>
      </w:r>
      <w:r>
        <w:tab/>
      </w:r>
      <w:r>
        <w:rPr>
          <w:color w:val="000000"/>
        </w:rPr>
        <w:t>36</w:t>
      </w:r>
    </w:p>
    <w:p>
      <w:pPr>
        <w:pageBreakBefore/>
        <w:spacing w:before="80" w:after="400"/>
        <w:jc w:val="center"/>
      </w:pPr>
      <w:r>
        <w:rPr>
          <w:b/>
          <w:color w:val="000000"/>
          <w:sz w:val="32"/>
        </w:rPr>
        <w:t>List of Tables</w:t>
      </w:r>
    </w:p>
    <w:p>
      <w:pPr>
        <w:tabs>
          <w:tab w:val="right" w:leader="dot" w:pos="8666"/>
        </w:tabs>
        <w:spacing w:before="20" w:after="20"/>
      </w:pPr>
      <w:r>
        <w:rPr>
          <w:color w:val="000000"/>
        </w:rPr>
        <w:t>2.1 Summary of the reviewed literature</w:t>
      </w:r>
      <w:r>
        <w:tab/>
      </w:r>
      <w:r>
        <w:rPr>
          <w:color w:val="000000"/>
        </w:rPr>
        <w:t>7</w:t>
      </w:r>
    </w:p>
    <w:p>
      <w:pPr>
        <w:tabs>
          <w:tab w:val="right" w:leader="dot" w:pos="8666"/>
        </w:tabs>
        <w:spacing w:before="20" w:after="20"/>
      </w:pPr>
      <w:r>
        <w:rPr>
          <w:color w:val="000000"/>
        </w:rPr>
        <w:t>2.2 Research gaps and how this project addresses them</w:t>
      </w:r>
      <w:r>
        <w:tab/>
      </w:r>
      <w:r>
        <w:rPr>
          <w:color w:val="000000"/>
        </w:rPr>
        <w:t>8</w:t>
      </w:r>
    </w:p>
    <w:p>
      <w:pPr>
        <w:tabs>
          <w:tab w:val="right" w:leader="dot" w:pos="8666"/>
        </w:tabs>
        <w:spacing w:before="20" w:after="20"/>
      </w:pPr>
      <w:r>
        <w:rPr>
          <w:color w:val="000000"/>
        </w:rPr>
        <w:t>3.1 Data sources used in the project and their purpose</w:t>
      </w:r>
      <w:r>
        <w:tab/>
      </w:r>
      <w:r>
        <w:rPr>
          <w:color w:val="000000"/>
        </w:rPr>
        <w:t>11</w:t>
      </w:r>
    </w:p>
    <w:p>
      <w:pPr>
        <w:tabs>
          <w:tab w:val="right" w:leader="dot" w:pos="8666"/>
        </w:tabs>
        <w:spacing w:before="20" w:after="20"/>
      </w:pPr>
      <w:r>
        <w:rPr>
          <w:color w:val="000000"/>
        </w:rPr>
        <w:t>3.2 Synthetic demonstration cohort (35 days per user)</w:t>
      </w:r>
      <w:r>
        <w:tab/>
      </w:r>
      <w:r>
        <w:rPr>
          <w:color w:val="000000"/>
        </w:rPr>
        <w:t>12</w:t>
      </w:r>
    </w:p>
    <w:p>
      <w:pPr>
        <w:tabs>
          <w:tab w:val="right" w:leader="dot" w:pos="8666"/>
        </w:tabs>
        <w:spacing w:before="20" w:after="20"/>
      </w:pPr>
      <w:r>
        <w:rPr>
          <w:color w:val="000000"/>
        </w:rPr>
        <w:t>3.3 Engine inputs, layers and within-layer weights</w:t>
      </w:r>
      <w:r>
        <w:tab/>
      </w:r>
      <w:r>
        <w:rPr>
          <w:color w:val="000000"/>
        </w:rPr>
        <w:t>13</w:t>
      </w:r>
    </w:p>
    <w:p>
      <w:pPr>
        <w:tabs>
          <w:tab w:val="right" w:leader="dot" w:pos="8666"/>
        </w:tabs>
        <w:spacing w:before="20" w:after="20"/>
      </w:pPr>
      <w:r>
        <w:rPr>
          <w:color w:val="000000"/>
        </w:rPr>
        <w:t>3.4 Evidence-derived layer weights</w:t>
      </w:r>
      <w:r>
        <w:tab/>
      </w:r>
      <w:r>
        <w:rPr>
          <w:color w:val="000000"/>
        </w:rPr>
        <w:t>15</w:t>
      </w:r>
    </w:p>
    <w:p>
      <w:pPr>
        <w:tabs>
          <w:tab w:val="right" w:leader="dot" w:pos="8666"/>
        </w:tabs>
        <w:spacing w:before="20" w:after="20"/>
      </w:pPr>
      <w:r>
        <w:rPr>
          <w:color w:val="000000"/>
        </w:rPr>
        <w:t>3.5 Agent evaluation scenarios</w:t>
      </w:r>
      <w:r>
        <w:tab/>
      </w:r>
      <w:r>
        <w:rPr>
          <w:color w:val="000000"/>
        </w:rPr>
        <w:t>24</w:t>
      </w:r>
    </w:p>
    <w:p>
      <w:pPr>
        <w:tabs>
          <w:tab w:val="right" w:leader="dot" w:pos="8666"/>
        </w:tabs>
        <w:spacing w:before="20" w:after="20"/>
      </w:pPr>
      <w:r>
        <w:rPr>
          <w:color w:val="000000"/>
        </w:rPr>
        <w:t>3.6 Software, services and hardware used in the project</w:t>
      </w:r>
      <w:r>
        <w:tab/>
      </w:r>
      <w:r>
        <w:rPr>
          <w:color w:val="000000"/>
        </w:rPr>
        <w:t>25</w:t>
      </w:r>
    </w:p>
    <w:p>
      <w:pPr>
        <w:tabs>
          <w:tab w:val="right" w:leader="dot" w:pos="8666"/>
        </w:tabs>
        <w:spacing w:before="20" w:after="20"/>
      </w:pPr>
      <w:r>
        <w:rPr>
          <w:color w:val="000000"/>
        </w:rPr>
        <w:t>4.1 Implemented components and their verification</w:t>
      </w:r>
      <w:r>
        <w:tab/>
      </w:r>
      <w:r>
        <w:rPr>
          <w:color w:val="000000"/>
        </w:rPr>
        <w:t>26</w:t>
      </w:r>
    </w:p>
    <w:p>
      <w:pPr>
        <w:tabs>
          <w:tab w:val="right" w:leader="dot" w:pos="8666"/>
        </w:tabs>
        <w:spacing w:before="20" w:after="20"/>
      </w:pPr>
      <w:r>
        <w:rPr>
          <w:color w:val="000000"/>
        </w:rPr>
        <w:t>4.2 Fall Risk Scores of the demonstration cohort</w:t>
      </w:r>
      <w:r>
        <w:tab/>
      </w:r>
      <w:r>
        <w:rPr>
          <w:color w:val="000000"/>
        </w:rPr>
        <w:t>27</w:t>
      </w:r>
    </w:p>
    <w:p>
      <w:pPr>
        <w:tabs>
          <w:tab w:val="right" w:leader="dot" w:pos="8666"/>
        </w:tabs>
        <w:spacing w:before="20" w:after="20"/>
      </w:pPr>
      <w:r>
        <w:rPr>
          <w:color w:val="000000"/>
        </w:rPr>
        <w:t>4.3 Layer risks (0–100) and top contributors (points)</w:t>
      </w:r>
      <w:r>
        <w:tab/>
      </w:r>
      <w:r>
        <w:rPr>
          <w:color w:val="000000"/>
        </w:rPr>
        <w:t>27</w:t>
      </w:r>
    </w:p>
    <w:p>
      <w:pPr>
        <w:tabs>
          <w:tab w:val="right" w:leader="dot" w:pos="8666"/>
        </w:tabs>
        <w:spacing w:before="20" w:after="20"/>
      </w:pPr>
      <w:r>
        <w:rPr>
          <w:color w:val="000000"/>
        </w:rPr>
        <w:t>4.4 Physiology-layer risk on normal luteal days, with and without the cycle-aware baseline</w:t>
      </w:r>
      <w:r>
        <w:tab/>
      </w:r>
      <w:r>
        <w:rPr>
          <w:color w:val="000000"/>
        </w:rPr>
        <w:t>29</w:t>
      </w:r>
    </w:p>
    <w:p>
      <w:pPr>
        <w:tabs>
          <w:tab w:val="right" w:leader="dot" w:pos="8666"/>
        </w:tabs>
        <w:spacing w:before="20" w:after="20"/>
      </w:pPr>
      <w:r>
        <w:rPr>
          <w:color w:val="000000"/>
        </w:rPr>
        <w:t>4.5 Experiment 1: discrimination of fallers and non-fallers (LTMM lab walks, n = 73)</w:t>
      </w:r>
      <w:r>
        <w:tab/>
      </w:r>
      <w:r>
        <w:rPr>
          <w:color w:val="000000"/>
        </w:rPr>
        <w:t>31</w:t>
      </w:r>
    </w:p>
    <w:p>
      <w:pPr>
        <w:tabs>
          <w:tab w:val="right" w:leader="dot" w:pos="8666"/>
        </w:tabs>
        <w:spacing w:before="20" w:after="20"/>
      </w:pPr>
      <w:r>
        <w:rPr>
          <w:color w:val="000000"/>
        </w:rPr>
        <w:t>4.6 Experiment 1: per-feature AUC of the version 2 gait features</w:t>
      </w:r>
      <w:r>
        <w:tab/>
      </w:r>
      <w:r>
        <w:rPr>
          <w:color w:val="000000"/>
        </w:rPr>
        <w:t>31</w:t>
      </w:r>
    </w:p>
    <w:p>
      <w:pPr>
        <w:tabs>
          <w:tab w:val="right" w:leader="dot" w:pos="8666"/>
        </w:tabs>
        <w:spacing w:before="20" w:after="20"/>
      </w:pPr>
      <w:r>
        <w:rPr>
          <w:color w:val="000000"/>
        </w:rPr>
        <w:t>4.7 Experiment 2: pre-registered models on the LTMM lab walks (n = 73)</w:t>
      </w:r>
      <w:r>
        <w:tab/>
      </w:r>
      <w:r>
        <w:rPr>
          <w:color w:val="000000"/>
        </w:rPr>
        <w:t>33</w:t>
      </w:r>
    </w:p>
    <w:p>
      <w:pPr>
        <w:tabs>
          <w:tab w:val="right" w:leader="dot" w:pos="8666"/>
        </w:tabs>
        <w:spacing w:before="20" w:after="20"/>
      </w:pPr>
      <w:r>
        <w:rPr>
          <w:color w:val="000000"/>
        </w:rPr>
        <w:t>4.8 Experiment 3: adding daily-life walking from 3-day recordings</w:t>
      </w:r>
      <w:r>
        <w:tab/>
      </w:r>
      <w:r>
        <w:rPr>
          <w:color w:val="000000"/>
        </w:rPr>
        <w:t>34</w:t>
      </w:r>
    </w:p>
    <w:p>
      <w:pPr>
        <w:tabs>
          <w:tab w:val="right" w:leader="dot" w:pos="8666"/>
        </w:tabs>
        <w:spacing w:before="20" w:after="20"/>
      </w:pPr>
      <w:r>
        <w:rPr>
          <w:color w:val="000000"/>
        </w:rPr>
        <w:t>4.9 Agent versions A–D on the 11 fall scenarios</w:t>
      </w:r>
      <w:r>
        <w:tab/>
      </w:r>
      <w:r>
        <w:rPr>
          <w:color w:val="000000"/>
        </w:rPr>
        <w:t>34</w:t>
      </w:r>
    </w:p>
    <w:p>
      <w:pPr>
        <w:tabs>
          <w:tab w:val="right" w:leader="dot" w:pos="8666"/>
        </w:tabs>
        <w:spacing w:before="20" w:after="20"/>
      </w:pPr>
      <w:r>
        <w:rPr>
          <w:color w:val="000000"/>
        </w:rPr>
        <w:t>4.10 Automated checks and their outcomes</w:t>
      </w:r>
      <w:r>
        <w:tab/>
      </w:r>
      <w:r>
        <w:rPr>
          <w:color w:val="000000"/>
        </w:rPr>
        <w:t>36</w:t>
      </w:r>
    </w:p>
    <w:p>
      <w:pPr>
        <w:pageBreakBefore/>
        <w:spacing w:before="80" w:after="400"/>
        <w:jc w:val="center"/>
      </w:pPr>
      <w:r>
        <w:rPr>
          <w:b/>
          <w:color w:val="000000"/>
          <w:sz w:val="32"/>
        </w:rPr>
        <w:t>List of Acronyms</w:t>
      </w:r>
    </w:p>
    <w:tbl>
      <w:tblPr>
        <w:tblStyle w:val="TableGrid"/>
        <w:tblW w:w="7087" w:type="dxa"/>
        <w:jc w:val="center"/>
        <w:tblLayout w:type="fixed"/>
        <w:tblLook w:firstColumn="1" w:firstRow="1" w:lastColumn="0" w:lastRow="0" w:noHBand="0" w:noVBand="1" w:val="04A0"/>
      </w:tblPr>
      <w:tblGrid>
        <w:gridCol w:w="1701"/>
        <w:gridCol w:w="5386"/>
      </w:tblGrid>
      <w:tr>
        <w:trPr>
          <w:cantSplit/>
          <w:tblHeader/>
        </w:trPr>
        <w:tc>
          <w:tcPr>
            <w:tcW w:w="1701" w:type="dxa"/>
            <w:shd w:val="clear" w:color="auto" w:fill="E7E6E6"/>
            <w:vAlign w:val="center"/>
          </w:tcPr>
          <w:p>
            <w:pPr>
              <w:spacing w:before="20" w:after="20"/>
              <w:jc w:val="center"/>
            </w:pPr>
            <w:r>
              <w:rPr>
                <w:b/>
                <w:color w:val="000000"/>
                <w:sz w:val="20"/>
              </w:rPr>
              <w:t>Acronym</w:t>
            </w:r>
          </w:p>
        </w:tc>
        <w:tc>
          <w:tcPr>
            <w:tcW w:w="5386" w:type="dxa"/>
            <w:shd w:val="clear" w:color="auto" w:fill="E7E6E6"/>
            <w:vAlign w:val="center"/>
          </w:tcPr>
          <w:p>
            <w:pPr>
              <w:spacing w:before="20" w:after="20"/>
              <w:jc w:val="center"/>
            </w:pPr>
            <w:r>
              <w:rPr>
                <w:b/>
                <w:color w:val="000000"/>
                <w:sz w:val="20"/>
              </w:rPr>
              <w:t>Full Form</w:t>
            </w:r>
          </w:p>
        </w:tc>
      </w:tr>
      <w:tr>
        <w:trPr>
          <w:cantSplit/>
        </w:trPr>
        <w:tc>
          <w:tcPr>
            <w:tcW w:w="1701" w:type="dxa"/>
            <w:vAlign w:val="center"/>
          </w:tcPr>
          <w:p>
            <w:pPr>
              <w:spacing w:before="20" w:after="20"/>
              <w:jc w:val="left"/>
            </w:pPr>
            <w:r>
              <w:rPr>
                <w:color w:val="000000"/>
                <w:sz w:val="20"/>
              </w:rPr>
              <w:t>AI</w:t>
            </w:r>
          </w:p>
        </w:tc>
        <w:tc>
          <w:tcPr>
            <w:tcW w:w="5386" w:type="dxa"/>
            <w:vAlign w:val="center"/>
          </w:tcPr>
          <w:p>
            <w:pPr>
              <w:spacing w:before="20" w:after="20"/>
              <w:jc w:val="left"/>
            </w:pPr>
            <w:r>
              <w:rPr>
                <w:color w:val="000000"/>
                <w:sz w:val="20"/>
              </w:rPr>
              <w:t>Artificial Intelligence</w:t>
            </w:r>
          </w:p>
        </w:tc>
      </w:tr>
      <w:tr>
        <w:trPr>
          <w:cantSplit/>
        </w:trPr>
        <w:tc>
          <w:tcPr>
            <w:tcW w:w="1701" w:type="dxa"/>
            <w:vAlign w:val="center"/>
          </w:tcPr>
          <w:p>
            <w:pPr>
              <w:spacing w:before="20" w:after="20"/>
              <w:jc w:val="left"/>
            </w:pPr>
            <w:r>
              <w:rPr>
                <w:color w:val="000000"/>
                <w:sz w:val="20"/>
              </w:rPr>
              <w:t>API</w:t>
            </w:r>
          </w:p>
        </w:tc>
        <w:tc>
          <w:tcPr>
            <w:tcW w:w="5386" w:type="dxa"/>
            <w:vAlign w:val="center"/>
          </w:tcPr>
          <w:p>
            <w:pPr>
              <w:spacing w:before="20" w:after="20"/>
              <w:jc w:val="left"/>
            </w:pPr>
            <w:r>
              <w:rPr>
                <w:color w:val="000000"/>
                <w:sz w:val="20"/>
              </w:rPr>
              <w:t>Application Programming Interface</w:t>
            </w:r>
          </w:p>
        </w:tc>
      </w:tr>
      <w:tr>
        <w:trPr>
          <w:cantSplit/>
        </w:trPr>
        <w:tc>
          <w:tcPr>
            <w:tcW w:w="1701" w:type="dxa"/>
            <w:vAlign w:val="center"/>
          </w:tcPr>
          <w:p>
            <w:pPr>
              <w:spacing w:before="20" w:after="20"/>
              <w:jc w:val="left"/>
            </w:pPr>
            <w:r>
              <w:rPr>
                <w:color w:val="000000"/>
                <w:sz w:val="20"/>
              </w:rPr>
              <w:t>AP</w:t>
            </w:r>
          </w:p>
        </w:tc>
        <w:tc>
          <w:tcPr>
            <w:tcW w:w="5386" w:type="dxa"/>
            <w:vAlign w:val="center"/>
          </w:tcPr>
          <w:p>
            <w:pPr>
              <w:spacing w:before="20" w:after="20"/>
              <w:jc w:val="left"/>
            </w:pPr>
            <w:r>
              <w:rPr>
                <w:color w:val="000000"/>
                <w:sz w:val="20"/>
              </w:rPr>
              <w:t>Anteroposterior (acceleration axis)</w:t>
            </w:r>
          </w:p>
        </w:tc>
      </w:tr>
      <w:tr>
        <w:trPr>
          <w:cantSplit/>
        </w:trPr>
        <w:tc>
          <w:tcPr>
            <w:tcW w:w="1701" w:type="dxa"/>
            <w:vAlign w:val="center"/>
          </w:tcPr>
          <w:p>
            <w:pPr>
              <w:spacing w:before="20" w:after="20"/>
              <w:jc w:val="left"/>
            </w:pPr>
            <w:r>
              <w:rPr>
                <w:color w:val="000000"/>
                <w:sz w:val="20"/>
              </w:rPr>
              <w:t>AUC</w:t>
            </w:r>
          </w:p>
        </w:tc>
        <w:tc>
          <w:tcPr>
            <w:tcW w:w="5386" w:type="dxa"/>
            <w:vAlign w:val="center"/>
          </w:tcPr>
          <w:p>
            <w:pPr>
              <w:spacing w:before="20" w:after="20"/>
              <w:jc w:val="left"/>
            </w:pPr>
            <w:r>
              <w:rPr>
                <w:color w:val="000000"/>
                <w:sz w:val="20"/>
              </w:rPr>
              <w:t>Area Under the ROC Curve</w:t>
            </w:r>
          </w:p>
        </w:tc>
      </w:tr>
      <w:tr>
        <w:trPr>
          <w:cantSplit/>
        </w:trPr>
        <w:tc>
          <w:tcPr>
            <w:tcW w:w="1701" w:type="dxa"/>
            <w:vAlign w:val="center"/>
          </w:tcPr>
          <w:p>
            <w:pPr>
              <w:spacing w:before="20" w:after="20"/>
              <w:jc w:val="left"/>
            </w:pPr>
            <w:r>
              <w:rPr>
                <w:color w:val="000000"/>
                <w:sz w:val="20"/>
              </w:rPr>
              <w:t>BLE</w:t>
            </w:r>
          </w:p>
        </w:tc>
        <w:tc>
          <w:tcPr>
            <w:tcW w:w="5386" w:type="dxa"/>
            <w:vAlign w:val="center"/>
          </w:tcPr>
          <w:p>
            <w:pPr>
              <w:spacing w:before="20" w:after="20"/>
              <w:jc w:val="left"/>
            </w:pPr>
            <w:r>
              <w:rPr>
                <w:color w:val="000000"/>
                <w:sz w:val="20"/>
              </w:rPr>
              <w:t>Bluetooth Low Energy</w:t>
            </w:r>
          </w:p>
        </w:tc>
      </w:tr>
      <w:tr>
        <w:trPr>
          <w:cantSplit/>
        </w:trPr>
        <w:tc>
          <w:tcPr>
            <w:tcW w:w="1701" w:type="dxa"/>
            <w:vAlign w:val="center"/>
          </w:tcPr>
          <w:p>
            <w:pPr>
              <w:spacing w:before="20" w:after="20"/>
              <w:jc w:val="left"/>
            </w:pPr>
            <w:r>
              <w:rPr>
                <w:color w:val="000000"/>
                <w:sz w:val="20"/>
              </w:rPr>
              <w:t>BP</w:t>
            </w:r>
          </w:p>
        </w:tc>
        <w:tc>
          <w:tcPr>
            <w:tcW w:w="5386" w:type="dxa"/>
            <w:vAlign w:val="center"/>
          </w:tcPr>
          <w:p>
            <w:pPr>
              <w:spacing w:before="20" w:after="20"/>
              <w:jc w:val="left"/>
            </w:pPr>
            <w:r>
              <w:rPr>
                <w:color w:val="000000"/>
                <w:sz w:val="20"/>
              </w:rPr>
              <w:t>Blood Pressure</w:t>
            </w:r>
          </w:p>
        </w:tc>
      </w:tr>
      <w:tr>
        <w:trPr>
          <w:cantSplit/>
        </w:trPr>
        <w:tc>
          <w:tcPr>
            <w:tcW w:w="1701" w:type="dxa"/>
            <w:vAlign w:val="center"/>
          </w:tcPr>
          <w:p>
            <w:pPr>
              <w:spacing w:before="20" w:after="20"/>
              <w:jc w:val="left"/>
            </w:pPr>
            <w:r>
              <w:rPr>
                <w:color w:val="000000"/>
                <w:sz w:val="20"/>
              </w:rPr>
              <w:t>CI</w:t>
            </w:r>
          </w:p>
        </w:tc>
        <w:tc>
          <w:tcPr>
            <w:tcW w:w="5386" w:type="dxa"/>
            <w:vAlign w:val="center"/>
          </w:tcPr>
          <w:p>
            <w:pPr>
              <w:spacing w:before="20" w:after="20"/>
              <w:jc w:val="left"/>
            </w:pPr>
            <w:r>
              <w:rPr>
                <w:color w:val="000000"/>
                <w:sz w:val="20"/>
              </w:rPr>
              <w:t>Confidence Interval</w:t>
            </w:r>
          </w:p>
        </w:tc>
      </w:tr>
      <w:tr>
        <w:trPr>
          <w:cantSplit/>
        </w:trPr>
        <w:tc>
          <w:tcPr>
            <w:tcW w:w="1701" w:type="dxa"/>
            <w:vAlign w:val="center"/>
          </w:tcPr>
          <w:p>
            <w:pPr>
              <w:spacing w:before="20" w:after="20"/>
              <w:jc w:val="left"/>
            </w:pPr>
            <w:r>
              <w:rPr>
                <w:color w:val="000000"/>
                <w:sz w:val="20"/>
              </w:rPr>
              <w:t>CV</w:t>
            </w:r>
          </w:p>
        </w:tc>
        <w:tc>
          <w:tcPr>
            <w:tcW w:w="5386" w:type="dxa"/>
            <w:vAlign w:val="center"/>
          </w:tcPr>
          <w:p>
            <w:pPr>
              <w:spacing w:before="20" w:after="20"/>
              <w:jc w:val="left"/>
            </w:pPr>
            <w:r>
              <w:rPr>
                <w:color w:val="000000"/>
                <w:sz w:val="20"/>
              </w:rPr>
              <w:t>Coefficient of Variation / Cross-Validation</w:t>
            </w:r>
          </w:p>
        </w:tc>
      </w:tr>
      <w:tr>
        <w:trPr>
          <w:cantSplit/>
        </w:trPr>
        <w:tc>
          <w:tcPr>
            <w:tcW w:w="1701" w:type="dxa"/>
            <w:vAlign w:val="center"/>
          </w:tcPr>
          <w:p>
            <w:pPr>
              <w:spacing w:before="20" w:after="20"/>
              <w:jc w:val="left"/>
            </w:pPr>
            <w:r>
              <w:rPr>
                <w:color w:val="000000"/>
                <w:sz w:val="20"/>
              </w:rPr>
              <w:t>FH</w:t>
            </w:r>
          </w:p>
        </w:tc>
        <w:tc>
          <w:tcPr>
            <w:tcW w:w="5386" w:type="dxa"/>
            <w:vAlign w:val="center"/>
          </w:tcPr>
          <w:p>
            <w:pPr>
              <w:spacing w:before="20" w:after="20"/>
              <w:jc w:val="left"/>
            </w:pPr>
            <w:r>
              <w:rPr>
                <w:color w:val="000000"/>
                <w:sz w:val="20"/>
              </w:rPr>
              <w:t>Fall History (layer)</w:t>
            </w:r>
          </w:p>
        </w:tc>
      </w:tr>
      <w:tr>
        <w:trPr>
          <w:cantSplit/>
        </w:trPr>
        <w:tc>
          <w:tcPr>
            <w:tcW w:w="1701" w:type="dxa"/>
            <w:vAlign w:val="center"/>
          </w:tcPr>
          <w:p>
            <w:pPr>
              <w:spacing w:before="20" w:after="20"/>
              <w:jc w:val="left"/>
            </w:pPr>
            <w:r>
              <w:rPr>
                <w:color w:val="000000"/>
                <w:sz w:val="20"/>
              </w:rPr>
              <w:t>FRS</w:t>
            </w:r>
          </w:p>
        </w:tc>
        <w:tc>
          <w:tcPr>
            <w:tcW w:w="5386" w:type="dxa"/>
            <w:vAlign w:val="center"/>
          </w:tcPr>
          <w:p>
            <w:pPr>
              <w:spacing w:before="20" w:after="20"/>
              <w:jc w:val="left"/>
            </w:pPr>
            <w:r>
              <w:rPr>
                <w:color w:val="000000"/>
                <w:sz w:val="20"/>
              </w:rPr>
              <w:t>Fall Risk Score</w:t>
            </w:r>
          </w:p>
        </w:tc>
      </w:tr>
      <w:tr>
        <w:trPr>
          <w:cantSplit/>
        </w:trPr>
        <w:tc>
          <w:tcPr>
            <w:tcW w:w="1701" w:type="dxa"/>
            <w:vAlign w:val="center"/>
          </w:tcPr>
          <w:p>
            <w:pPr>
              <w:spacing w:before="20" w:after="20"/>
              <w:jc w:val="left"/>
            </w:pPr>
            <w:r>
              <w:rPr>
                <w:color w:val="000000"/>
                <w:sz w:val="20"/>
              </w:rPr>
              <w:t>HR</w:t>
            </w:r>
          </w:p>
        </w:tc>
        <w:tc>
          <w:tcPr>
            <w:tcW w:w="5386" w:type="dxa"/>
            <w:vAlign w:val="center"/>
          </w:tcPr>
          <w:p>
            <w:pPr>
              <w:spacing w:before="20" w:after="20"/>
              <w:jc w:val="left"/>
            </w:pPr>
            <w:r>
              <w:rPr>
                <w:color w:val="000000"/>
                <w:sz w:val="20"/>
              </w:rPr>
              <w:t>Heart Rate</w:t>
            </w:r>
          </w:p>
        </w:tc>
      </w:tr>
      <w:tr>
        <w:trPr>
          <w:cantSplit/>
        </w:trPr>
        <w:tc>
          <w:tcPr>
            <w:tcW w:w="1701" w:type="dxa"/>
            <w:vAlign w:val="center"/>
          </w:tcPr>
          <w:p>
            <w:pPr>
              <w:spacing w:before="20" w:after="20"/>
              <w:jc w:val="left"/>
            </w:pPr>
            <w:r>
              <w:rPr>
                <w:color w:val="000000"/>
                <w:sz w:val="20"/>
              </w:rPr>
              <w:t>HRV</w:t>
            </w:r>
          </w:p>
        </w:tc>
        <w:tc>
          <w:tcPr>
            <w:tcW w:w="5386" w:type="dxa"/>
            <w:vAlign w:val="center"/>
          </w:tcPr>
          <w:p>
            <w:pPr>
              <w:spacing w:before="20" w:after="20"/>
              <w:jc w:val="left"/>
            </w:pPr>
            <w:r>
              <w:rPr>
                <w:color w:val="000000"/>
                <w:sz w:val="20"/>
              </w:rPr>
              <w:t>Heart Rate Variability</w:t>
            </w:r>
          </w:p>
        </w:tc>
      </w:tr>
      <w:tr>
        <w:trPr>
          <w:cantSplit/>
        </w:trPr>
        <w:tc>
          <w:tcPr>
            <w:tcW w:w="1701" w:type="dxa"/>
            <w:vAlign w:val="center"/>
          </w:tcPr>
          <w:p>
            <w:pPr>
              <w:spacing w:before="20" w:after="20"/>
              <w:jc w:val="left"/>
            </w:pPr>
            <w:r>
              <w:rPr>
                <w:color w:val="000000"/>
                <w:sz w:val="20"/>
              </w:rPr>
              <w:t>IMU</w:t>
            </w:r>
          </w:p>
        </w:tc>
        <w:tc>
          <w:tcPr>
            <w:tcW w:w="5386" w:type="dxa"/>
            <w:vAlign w:val="center"/>
          </w:tcPr>
          <w:p>
            <w:pPr>
              <w:spacing w:before="20" w:after="20"/>
              <w:jc w:val="left"/>
            </w:pPr>
            <w:r>
              <w:rPr>
                <w:color w:val="000000"/>
                <w:sz w:val="20"/>
              </w:rPr>
              <w:t>Inertial Measurement Unit</w:t>
            </w:r>
          </w:p>
        </w:tc>
      </w:tr>
      <w:tr>
        <w:trPr>
          <w:cantSplit/>
        </w:trPr>
        <w:tc>
          <w:tcPr>
            <w:tcW w:w="1701" w:type="dxa"/>
            <w:vAlign w:val="center"/>
          </w:tcPr>
          <w:p>
            <w:pPr>
              <w:spacing w:before="20" w:after="20"/>
              <w:jc w:val="left"/>
            </w:pPr>
            <w:r>
              <w:rPr>
                <w:color w:val="000000"/>
                <w:sz w:val="20"/>
              </w:rPr>
              <w:t>JSON</w:t>
            </w:r>
          </w:p>
        </w:tc>
        <w:tc>
          <w:tcPr>
            <w:tcW w:w="5386" w:type="dxa"/>
            <w:vAlign w:val="center"/>
          </w:tcPr>
          <w:p>
            <w:pPr>
              <w:spacing w:before="20" w:after="20"/>
              <w:jc w:val="left"/>
            </w:pPr>
            <w:r>
              <w:rPr>
                <w:color w:val="000000"/>
                <w:sz w:val="20"/>
              </w:rPr>
              <w:t>JavaScript Object Notation</w:t>
            </w:r>
          </w:p>
        </w:tc>
      </w:tr>
      <w:tr>
        <w:trPr>
          <w:cantSplit/>
        </w:trPr>
        <w:tc>
          <w:tcPr>
            <w:tcW w:w="1701" w:type="dxa"/>
            <w:vAlign w:val="center"/>
          </w:tcPr>
          <w:p>
            <w:pPr>
              <w:spacing w:before="20" w:after="20"/>
              <w:jc w:val="left"/>
            </w:pPr>
            <w:r>
              <w:rPr>
                <w:color w:val="000000"/>
                <w:sz w:val="20"/>
              </w:rPr>
              <w:t>LLM</w:t>
            </w:r>
          </w:p>
        </w:tc>
        <w:tc>
          <w:tcPr>
            <w:tcW w:w="5386" w:type="dxa"/>
            <w:vAlign w:val="center"/>
          </w:tcPr>
          <w:p>
            <w:pPr>
              <w:spacing w:before="20" w:after="20"/>
              <w:jc w:val="left"/>
            </w:pPr>
            <w:r>
              <w:rPr>
                <w:color w:val="000000"/>
                <w:sz w:val="20"/>
              </w:rPr>
              <w:t>Large Language Model</w:t>
            </w:r>
          </w:p>
        </w:tc>
      </w:tr>
      <w:tr>
        <w:trPr>
          <w:cantSplit/>
        </w:trPr>
        <w:tc>
          <w:tcPr>
            <w:tcW w:w="1701" w:type="dxa"/>
            <w:vAlign w:val="center"/>
          </w:tcPr>
          <w:p>
            <w:pPr>
              <w:spacing w:before="20" w:after="20"/>
              <w:jc w:val="left"/>
            </w:pPr>
            <w:r>
              <w:rPr>
                <w:color w:val="000000"/>
                <w:sz w:val="20"/>
              </w:rPr>
              <w:t>LTMM</w:t>
            </w:r>
          </w:p>
        </w:tc>
        <w:tc>
          <w:tcPr>
            <w:tcW w:w="5386" w:type="dxa"/>
            <w:vAlign w:val="center"/>
          </w:tcPr>
          <w:p>
            <w:pPr>
              <w:spacing w:before="20" w:after="20"/>
              <w:jc w:val="left"/>
            </w:pPr>
            <w:r>
              <w:rPr>
                <w:color w:val="000000"/>
                <w:sz w:val="20"/>
              </w:rPr>
              <w:t>Long Term Movement Monitoring (database)</w:t>
            </w:r>
          </w:p>
        </w:tc>
      </w:tr>
      <w:tr>
        <w:trPr>
          <w:cantSplit/>
        </w:trPr>
        <w:tc>
          <w:tcPr>
            <w:tcW w:w="1701" w:type="dxa"/>
            <w:vAlign w:val="center"/>
          </w:tcPr>
          <w:p>
            <w:pPr>
              <w:spacing w:before="20" w:after="20"/>
              <w:jc w:val="left"/>
            </w:pPr>
            <w:r>
              <w:rPr>
                <w:color w:val="000000"/>
                <w:sz w:val="20"/>
              </w:rPr>
              <w:t>MAD</w:t>
            </w:r>
          </w:p>
        </w:tc>
        <w:tc>
          <w:tcPr>
            <w:tcW w:w="5386" w:type="dxa"/>
            <w:vAlign w:val="center"/>
          </w:tcPr>
          <w:p>
            <w:pPr>
              <w:spacing w:before="20" w:after="20"/>
              <w:jc w:val="left"/>
            </w:pPr>
            <w:r>
              <w:rPr>
                <w:color w:val="000000"/>
                <w:sz w:val="20"/>
              </w:rPr>
              <w:t>Median Absolute Deviation</w:t>
            </w:r>
          </w:p>
        </w:tc>
      </w:tr>
      <w:tr>
        <w:trPr>
          <w:cantSplit/>
        </w:trPr>
        <w:tc>
          <w:tcPr>
            <w:tcW w:w="1701" w:type="dxa"/>
            <w:vAlign w:val="center"/>
          </w:tcPr>
          <w:p>
            <w:pPr>
              <w:spacing w:before="20" w:after="20"/>
              <w:jc w:val="left"/>
            </w:pPr>
            <w:r>
              <w:rPr>
                <w:color w:val="000000"/>
                <w:sz w:val="20"/>
              </w:rPr>
              <w:t>ML</w:t>
            </w:r>
          </w:p>
        </w:tc>
        <w:tc>
          <w:tcPr>
            <w:tcW w:w="5386" w:type="dxa"/>
            <w:vAlign w:val="center"/>
          </w:tcPr>
          <w:p>
            <w:pPr>
              <w:spacing w:before="20" w:after="20"/>
              <w:jc w:val="left"/>
            </w:pPr>
            <w:r>
              <w:rPr>
                <w:color w:val="000000"/>
                <w:sz w:val="20"/>
              </w:rPr>
              <w:t>Machine Learning / Mediolateral</w:t>
            </w:r>
          </w:p>
        </w:tc>
      </w:tr>
      <w:tr>
        <w:trPr>
          <w:cantSplit/>
        </w:trPr>
        <w:tc>
          <w:tcPr>
            <w:tcW w:w="1701" w:type="dxa"/>
            <w:vAlign w:val="center"/>
          </w:tcPr>
          <w:p>
            <w:pPr>
              <w:spacing w:before="20" w:after="20"/>
              <w:jc w:val="left"/>
            </w:pPr>
            <w:r>
              <w:rPr>
                <w:color w:val="000000"/>
                <w:sz w:val="20"/>
              </w:rPr>
              <w:t>MO</w:t>
            </w:r>
          </w:p>
        </w:tc>
        <w:tc>
          <w:tcPr>
            <w:tcW w:w="5386" w:type="dxa"/>
            <w:vAlign w:val="center"/>
          </w:tcPr>
          <w:p>
            <w:pPr>
              <w:spacing w:before="20" w:after="20"/>
              <w:jc w:val="left"/>
            </w:pPr>
            <w:r>
              <w:rPr>
                <w:color w:val="000000"/>
                <w:sz w:val="20"/>
              </w:rPr>
              <w:t>Motion (layer)</w:t>
            </w:r>
          </w:p>
        </w:tc>
      </w:tr>
      <w:tr>
        <w:trPr>
          <w:cantSplit/>
        </w:trPr>
        <w:tc>
          <w:tcPr>
            <w:tcW w:w="1701" w:type="dxa"/>
            <w:vAlign w:val="center"/>
          </w:tcPr>
          <w:p>
            <w:pPr>
              <w:spacing w:before="20" w:after="20"/>
              <w:jc w:val="left"/>
            </w:pPr>
            <w:r>
              <w:rPr>
                <w:color w:val="000000"/>
                <w:sz w:val="20"/>
              </w:rPr>
              <w:t>OR</w:t>
            </w:r>
          </w:p>
        </w:tc>
        <w:tc>
          <w:tcPr>
            <w:tcW w:w="5386" w:type="dxa"/>
            <w:vAlign w:val="center"/>
          </w:tcPr>
          <w:p>
            <w:pPr>
              <w:spacing w:before="20" w:after="20"/>
              <w:jc w:val="left"/>
            </w:pPr>
            <w:r>
              <w:rPr>
                <w:color w:val="000000"/>
                <w:sz w:val="20"/>
              </w:rPr>
              <w:t>Odds Ratio</w:t>
            </w:r>
          </w:p>
        </w:tc>
      </w:tr>
      <w:tr>
        <w:trPr>
          <w:cantSplit/>
        </w:trPr>
        <w:tc>
          <w:tcPr>
            <w:tcW w:w="1701" w:type="dxa"/>
            <w:vAlign w:val="center"/>
          </w:tcPr>
          <w:p>
            <w:pPr>
              <w:spacing w:before="20" w:after="20"/>
              <w:jc w:val="left"/>
            </w:pPr>
            <w:r>
              <w:rPr>
                <w:color w:val="000000"/>
                <w:sz w:val="20"/>
              </w:rPr>
              <w:t>P</w:t>
            </w:r>
          </w:p>
        </w:tc>
        <w:tc>
          <w:tcPr>
            <w:tcW w:w="5386" w:type="dxa"/>
            <w:vAlign w:val="center"/>
          </w:tcPr>
          <w:p>
            <w:pPr>
              <w:spacing w:before="20" w:after="20"/>
              <w:jc w:val="left"/>
            </w:pPr>
            <w:r>
              <w:rPr>
                <w:color w:val="000000"/>
                <w:sz w:val="20"/>
              </w:rPr>
              <w:t>Physiology (layer)</w:t>
            </w:r>
          </w:p>
        </w:tc>
      </w:tr>
      <w:tr>
        <w:trPr>
          <w:cantSplit/>
        </w:trPr>
        <w:tc>
          <w:tcPr>
            <w:tcW w:w="1701" w:type="dxa"/>
            <w:vAlign w:val="center"/>
          </w:tcPr>
          <w:p>
            <w:pPr>
              <w:spacing w:before="20" w:after="20"/>
              <w:jc w:val="left"/>
            </w:pPr>
            <w:r>
              <w:rPr>
                <w:color w:val="000000"/>
                <w:sz w:val="20"/>
              </w:rPr>
              <w:t>PPG</w:t>
            </w:r>
          </w:p>
        </w:tc>
        <w:tc>
          <w:tcPr>
            <w:tcW w:w="5386" w:type="dxa"/>
            <w:vAlign w:val="center"/>
          </w:tcPr>
          <w:p>
            <w:pPr>
              <w:spacing w:before="20" w:after="20"/>
              <w:jc w:val="left"/>
            </w:pPr>
            <w:r>
              <w:rPr>
                <w:color w:val="000000"/>
                <w:sz w:val="20"/>
              </w:rPr>
              <w:t>Photoplethysmography</w:t>
            </w:r>
          </w:p>
        </w:tc>
      </w:tr>
      <w:tr>
        <w:trPr>
          <w:cantSplit/>
        </w:trPr>
        <w:tc>
          <w:tcPr>
            <w:tcW w:w="1701" w:type="dxa"/>
            <w:vAlign w:val="center"/>
          </w:tcPr>
          <w:p>
            <w:pPr>
              <w:spacing w:before="20" w:after="20"/>
              <w:jc w:val="left"/>
            </w:pPr>
            <w:r>
              <w:rPr>
                <w:color w:val="000000"/>
                <w:sz w:val="20"/>
              </w:rPr>
              <w:t>RAG</w:t>
            </w:r>
          </w:p>
        </w:tc>
        <w:tc>
          <w:tcPr>
            <w:tcW w:w="5386" w:type="dxa"/>
            <w:vAlign w:val="center"/>
          </w:tcPr>
          <w:p>
            <w:pPr>
              <w:spacing w:before="20" w:after="20"/>
              <w:jc w:val="left"/>
            </w:pPr>
            <w:r>
              <w:rPr>
                <w:color w:val="000000"/>
                <w:sz w:val="20"/>
              </w:rPr>
              <w:t>Retrieval-Augmented Generation</w:t>
            </w:r>
          </w:p>
        </w:tc>
      </w:tr>
      <w:tr>
        <w:trPr>
          <w:cantSplit/>
        </w:trPr>
        <w:tc>
          <w:tcPr>
            <w:tcW w:w="1701" w:type="dxa"/>
            <w:vAlign w:val="center"/>
          </w:tcPr>
          <w:p>
            <w:pPr>
              <w:spacing w:before="20" w:after="20"/>
              <w:jc w:val="left"/>
            </w:pPr>
            <w:r>
              <w:rPr>
                <w:color w:val="000000"/>
                <w:sz w:val="20"/>
              </w:rPr>
              <w:t>RC</w:t>
            </w:r>
          </w:p>
        </w:tc>
        <w:tc>
          <w:tcPr>
            <w:tcW w:w="5386" w:type="dxa"/>
            <w:vAlign w:val="center"/>
          </w:tcPr>
          <w:p>
            <w:pPr>
              <w:spacing w:before="20" w:after="20"/>
              <w:jc w:val="left"/>
            </w:pPr>
            <w:r>
              <w:rPr>
                <w:color w:val="000000"/>
                <w:sz w:val="20"/>
              </w:rPr>
              <w:t>Recovery (layer)</w:t>
            </w:r>
          </w:p>
        </w:tc>
      </w:tr>
      <w:tr>
        <w:trPr>
          <w:cantSplit/>
        </w:trPr>
        <w:tc>
          <w:tcPr>
            <w:tcW w:w="1701" w:type="dxa"/>
            <w:vAlign w:val="center"/>
          </w:tcPr>
          <w:p>
            <w:pPr>
              <w:spacing w:before="20" w:after="20"/>
              <w:jc w:val="left"/>
            </w:pPr>
            <w:r>
              <w:rPr>
                <w:color w:val="000000"/>
                <w:sz w:val="20"/>
              </w:rPr>
              <w:t>REST</w:t>
            </w:r>
          </w:p>
        </w:tc>
        <w:tc>
          <w:tcPr>
            <w:tcW w:w="5386" w:type="dxa"/>
            <w:vAlign w:val="center"/>
          </w:tcPr>
          <w:p>
            <w:pPr>
              <w:spacing w:before="20" w:after="20"/>
              <w:jc w:val="left"/>
            </w:pPr>
            <w:r>
              <w:rPr>
                <w:color w:val="000000"/>
                <w:sz w:val="20"/>
              </w:rPr>
              <w:t>Representational State Transfer</w:t>
            </w:r>
          </w:p>
        </w:tc>
      </w:tr>
      <w:tr>
        <w:trPr>
          <w:cantSplit/>
        </w:trPr>
        <w:tc>
          <w:tcPr>
            <w:tcW w:w="1701" w:type="dxa"/>
            <w:vAlign w:val="center"/>
          </w:tcPr>
          <w:p>
            <w:pPr>
              <w:spacing w:before="20" w:after="20"/>
              <w:jc w:val="left"/>
            </w:pPr>
            <w:r>
              <w:rPr>
                <w:color w:val="000000"/>
                <w:sz w:val="20"/>
              </w:rPr>
              <w:t>RHR</w:t>
            </w:r>
          </w:p>
        </w:tc>
        <w:tc>
          <w:tcPr>
            <w:tcW w:w="5386" w:type="dxa"/>
            <w:vAlign w:val="center"/>
          </w:tcPr>
          <w:p>
            <w:pPr>
              <w:spacing w:before="20" w:after="20"/>
              <w:jc w:val="left"/>
            </w:pPr>
            <w:r>
              <w:rPr>
                <w:color w:val="000000"/>
                <w:sz w:val="20"/>
              </w:rPr>
              <w:t>Resting Heart Rate</w:t>
            </w:r>
          </w:p>
        </w:tc>
      </w:tr>
      <w:tr>
        <w:trPr>
          <w:cantSplit/>
        </w:trPr>
        <w:tc>
          <w:tcPr>
            <w:tcW w:w="1701" w:type="dxa"/>
            <w:vAlign w:val="center"/>
          </w:tcPr>
          <w:p>
            <w:pPr>
              <w:spacing w:before="20" w:after="20"/>
              <w:jc w:val="left"/>
            </w:pPr>
            <w:r>
              <w:rPr>
                <w:color w:val="000000"/>
                <w:sz w:val="20"/>
              </w:rPr>
              <w:t>ROC</w:t>
            </w:r>
          </w:p>
        </w:tc>
        <w:tc>
          <w:tcPr>
            <w:tcW w:w="5386" w:type="dxa"/>
            <w:vAlign w:val="center"/>
          </w:tcPr>
          <w:p>
            <w:pPr>
              <w:spacing w:before="20" w:after="20"/>
              <w:jc w:val="left"/>
            </w:pPr>
            <w:r>
              <w:rPr>
                <w:color w:val="000000"/>
                <w:sz w:val="20"/>
              </w:rPr>
              <w:t>Receiver Operating Characteristic</w:t>
            </w:r>
          </w:p>
        </w:tc>
      </w:tr>
      <w:tr>
        <w:trPr>
          <w:cantSplit/>
        </w:trPr>
        <w:tc>
          <w:tcPr>
            <w:tcW w:w="1701" w:type="dxa"/>
            <w:vAlign w:val="center"/>
          </w:tcPr>
          <w:p>
            <w:pPr>
              <w:spacing w:before="20" w:after="20"/>
              <w:jc w:val="left"/>
            </w:pPr>
            <w:r>
              <w:rPr>
                <w:color w:val="000000"/>
                <w:sz w:val="20"/>
              </w:rPr>
              <w:t>RR</w:t>
            </w:r>
          </w:p>
        </w:tc>
        <w:tc>
          <w:tcPr>
            <w:tcW w:w="5386" w:type="dxa"/>
            <w:vAlign w:val="center"/>
          </w:tcPr>
          <w:p>
            <w:pPr>
              <w:spacing w:before="20" w:after="20"/>
              <w:jc w:val="left"/>
            </w:pPr>
            <w:r>
              <w:rPr>
                <w:color w:val="000000"/>
                <w:sz w:val="20"/>
              </w:rPr>
              <w:t>Risk Ratio</w:t>
            </w:r>
          </w:p>
        </w:tc>
      </w:tr>
      <w:tr>
        <w:trPr>
          <w:cantSplit/>
        </w:trPr>
        <w:tc>
          <w:tcPr>
            <w:tcW w:w="1701" w:type="dxa"/>
            <w:vAlign w:val="center"/>
          </w:tcPr>
          <w:p>
            <w:pPr>
              <w:spacing w:before="20" w:after="20"/>
              <w:jc w:val="left"/>
            </w:pPr>
            <w:r>
              <w:rPr>
                <w:color w:val="000000"/>
                <w:sz w:val="20"/>
              </w:rPr>
              <w:t>SDG</w:t>
            </w:r>
          </w:p>
        </w:tc>
        <w:tc>
          <w:tcPr>
            <w:tcW w:w="5386" w:type="dxa"/>
            <w:vAlign w:val="center"/>
          </w:tcPr>
          <w:p>
            <w:pPr>
              <w:spacing w:before="20" w:after="20"/>
              <w:jc w:val="left"/>
            </w:pPr>
            <w:r>
              <w:rPr>
                <w:color w:val="000000"/>
                <w:sz w:val="20"/>
              </w:rPr>
              <w:t>Sustainable Development Goal</w:t>
            </w:r>
          </w:p>
        </w:tc>
      </w:tr>
      <w:tr>
        <w:trPr>
          <w:cantSplit/>
        </w:trPr>
        <w:tc>
          <w:tcPr>
            <w:tcW w:w="1701" w:type="dxa"/>
            <w:vAlign w:val="center"/>
          </w:tcPr>
          <w:p>
            <w:pPr>
              <w:spacing w:before="20" w:after="20"/>
              <w:jc w:val="left"/>
            </w:pPr>
            <w:r>
              <w:rPr>
                <w:color w:val="000000"/>
                <w:sz w:val="20"/>
              </w:rPr>
              <w:t>SpO₂</w:t>
            </w:r>
          </w:p>
        </w:tc>
        <w:tc>
          <w:tcPr>
            <w:tcW w:w="5386" w:type="dxa"/>
            <w:vAlign w:val="center"/>
          </w:tcPr>
          <w:p>
            <w:pPr>
              <w:spacing w:before="20" w:after="20"/>
              <w:jc w:val="left"/>
            </w:pPr>
            <w:r>
              <w:rPr>
                <w:color w:val="000000"/>
                <w:sz w:val="20"/>
              </w:rPr>
              <w:t>Peripheral Oxygen Saturation</w:t>
            </w:r>
          </w:p>
        </w:tc>
      </w:tr>
      <w:tr>
        <w:trPr>
          <w:cantSplit/>
        </w:trPr>
        <w:tc>
          <w:tcPr>
            <w:tcW w:w="1701" w:type="dxa"/>
            <w:vAlign w:val="center"/>
          </w:tcPr>
          <w:p>
            <w:pPr>
              <w:spacing w:before="20" w:after="20"/>
              <w:jc w:val="left"/>
            </w:pPr>
            <w:r>
              <w:rPr>
                <w:color w:val="000000"/>
                <w:sz w:val="20"/>
              </w:rPr>
              <w:t>SQL</w:t>
            </w:r>
          </w:p>
        </w:tc>
        <w:tc>
          <w:tcPr>
            <w:tcW w:w="5386" w:type="dxa"/>
            <w:vAlign w:val="center"/>
          </w:tcPr>
          <w:p>
            <w:pPr>
              <w:spacing w:before="20" w:after="20"/>
              <w:jc w:val="left"/>
            </w:pPr>
            <w:r>
              <w:rPr>
                <w:color w:val="000000"/>
                <w:sz w:val="20"/>
              </w:rPr>
              <w:t>Structured Query Language</w:t>
            </w:r>
          </w:p>
        </w:tc>
      </w:tr>
      <w:tr>
        <w:trPr>
          <w:cantSplit/>
        </w:trPr>
        <w:tc>
          <w:tcPr>
            <w:tcW w:w="1701" w:type="dxa"/>
            <w:vAlign w:val="center"/>
          </w:tcPr>
          <w:p>
            <w:pPr>
              <w:spacing w:before="20" w:after="20"/>
              <w:jc w:val="left"/>
            </w:pPr>
            <w:r>
              <w:rPr>
                <w:color w:val="000000"/>
                <w:sz w:val="20"/>
              </w:rPr>
              <w:t>TUG</w:t>
            </w:r>
          </w:p>
        </w:tc>
        <w:tc>
          <w:tcPr>
            <w:tcW w:w="5386" w:type="dxa"/>
            <w:vAlign w:val="center"/>
          </w:tcPr>
          <w:p>
            <w:pPr>
              <w:spacing w:before="20" w:after="20"/>
              <w:jc w:val="left"/>
            </w:pPr>
            <w:r>
              <w:rPr>
                <w:color w:val="000000"/>
                <w:sz w:val="20"/>
              </w:rPr>
              <w:t>Timed Up and Go (test)</w:t>
            </w:r>
          </w:p>
        </w:tc>
      </w:tr>
      <w:tr>
        <w:trPr>
          <w:cantSplit/>
        </w:trPr>
        <w:tc>
          <w:tcPr>
            <w:tcW w:w="1701" w:type="dxa"/>
            <w:vAlign w:val="center"/>
          </w:tcPr>
          <w:p>
            <w:pPr>
              <w:spacing w:before="20" w:after="20"/>
              <w:jc w:val="left"/>
            </w:pPr>
            <w:r>
              <w:rPr>
                <w:color w:val="000000"/>
                <w:sz w:val="20"/>
              </w:rPr>
              <w:t>UI</w:t>
            </w:r>
          </w:p>
        </w:tc>
        <w:tc>
          <w:tcPr>
            <w:tcW w:w="5386" w:type="dxa"/>
            <w:vAlign w:val="center"/>
          </w:tcPr>
          <w:p>
            <w:pPr>
              <w:spacing w:before="20" w:after="20"/>
              <w:jc w:val="left"/>
            </w:pPr>
            <w:r>
              <w:rPr>
                <w:color w:val="000000"/>
                <w:sz w:val="20"/>
              </w:rPr>
              <w:t>User Interface</w:t>
            </w:r>
          </w:p>
        </w:tc>
      </w:tr>
    </w:tbl>
    <w:p>
      <w:pPr>
        <w:spacing w:before="0" w:after="120"/>
      </w:pPr>
    </w:p>
    <w:p w14:paraId="05262ED2" w14:textId="77777777" w:rsidR="008C08FF" w:rsidRDefault="008C08FF">
      <w:pPr>
        <w:sectPr w:rsidR="008C08FF">
          <w:footerReference w:type="default" r:id="rId14"/>
          <w:pgSz w:w="11906" w:h="16838"/>
          <w:pgMar w:top="1440" w:right="1440" w:bottom="1440" w:left="1800" w:header="708" w:footer="708" w:gutter="0"/>
          <w:pgNumType w:fmt="lowerRoman" w:start="1"/>
          <w:cols w:space="720"/>
          <w:docGrid w:linePitch="360"/>
        </w:sectPr>
      </w:pPr>
    </w:p>
    <w:p>
      <w:pPr>
        <w:keepNext/>
        <w:pageBreakBefore/>
        <w:spacing w:after="80"/>
        <w:jc w:val="center"/>
      </w:pPr>
      <w:r>
        <w:rPr>
          <w:b/>
          <w:color w:val="000000"/>
          <w:sz w:val="32"/>
        </w:rPr>
        <w:t>CHAPTER 1</w:t>
      </w:r>
    </w:p>
    <w:p>
      <w:pPr>
        <w:keepNext/>
        <w:spacing w:before="40" w:after="280"/>
        <w:jc w:val="center"/>
      </w:pPr>
      <w:r>
        <w:rPr>
          <w:b/>
          <w:color w:val="000000"/>
          <w:sz w:val="32"/>
        </w:rPr>
        <w:t>Introduction</w:t>
      </w:r>
    </w:p>
    <w:p>
      <w:pPr>
        <w:keepNext/>
        <w:spacing w:before="320" w:after="120"/>
      </w:pPr>
      <w:r>
        <w:rPr>
          <w:b/>
          <w:color w:val="000000"/>
          <w:sz w:val="28"/>
        </w:rPr>
        <w:t>1.1 Background</w:t>
      </w:r>
    </w:p>
    <w:p>
      <w:pPr>
        <w:spacing w:after="160" w:line="360" w:lineRule="auto"/>
        <w:ind w:firstLine="0"/>
        <w:jc w:val="both"/>
      </w:pPr>
      <w:r>
        <w:rPr>
          <w:color w:val="000000"/>
        </w:rPr>
        <w:t>Falls are one of the most common and most serious health events in later life. In community-dwelling older adults a fall can lead to fractures, head injury, loss of independence and a lasting fear of falling. Many falls are not random accidents: they are preceded by measurable changes such as a history of earlier falls, deteriorating gait, low blood pressure on standing, poor sleep and general physiological strain [11]–[14]. If these changes can be observed continuously, rising risk can be flagged before a fall happens rather than after.</w:t>
      </w:r>
    </w:p>
    <w:p>
      <w:pPr>
        <w:spacing w:after="160" w:line="360" w:lineRule="auto"/>
        <w:ind w:firstLine="0"/>
        <w:jc w:val="both"/>
      </w:pPr>
      <w:r>
        <w:rPr>
          <w:color w:val="000000"/>
        </w:rPr>
        <w:t>Consumer smart rings now measure heart rate (HR), heart-rate variability (HRV), blood oxygen saturation (SpO₂), skin temperature, sleep and activity every day, at low cost and without user effort. Because the same person is measured for weeks, each reading can be compared with that person’s own normal range rather than with a population average, an approach that has already been used to detect illness early from wearables [15]. Smart rings therefore offer a practical way to monitor the daily factors that are linked to falls.</w:t>
      </w:r>
    </w:p>
    <w:p>
      <w:pPr>
        <w:spacing w:after="160" w:line="360" w:lineRule="auto"/>
        <w:ind w:firstLine="0"/>
        <w:jc w:val="both"/>
      </w:pPr>
      <w:r>
        <w:rPr>
          <w:color w:val="000000"/>
        </w:rPr>
        <w:t>At the same time, large language models (LLMs) have made it possible to build conversational health assistants that answer questions about a user’s own data [1]–[3]. Such assistants are attractive because they explain trends in plain language, but they also introduce new risks: an LLM can state a number that is not in the data, and a text-only safety check can miss an emergency when the user writes something calm such as “I’m fine”.</w:t>
      </w:r>
    </w:p>
    <w:p>
      <w:pPr>
        <w:keepNext/>
        <w:spacing w:before="320" w:after="120"/>
      </w:pPr>
      <w:r>
        <w:rPr>
          <w:b/>
          <w:color w:val="000000"/>
          <w:sz w:val="28"/>
        </w:rPr>
        <w:t>1.2 Motivation</w:t>
      </w:r>
    </w:p>
    <w:p>
      <w:pPr>
        <w:spacing w:after="160" w:line="360" w:lineRule="auto"/>
        <w:ind w:firstLine="0"/>
        <w:jc w:val="both"/>
      </w:pPr>
      <w:r>
        <w:rPr>
          <w:color w:val="000000"/>
        </w:rPr>
        <w:t>Existing fall systems are largely reactive. Wearable fall detectors raise an alarm after an impact has occurred, and clinical fall-risk assessment relies on occasional tests such as the Timed Up and Go (TUG) test performed in a clinic. Machine-learning models for fall risk often reach good accuracy on curated data, but they are usually black boxes whose output cannot be explained to the person being assessed, and they need labelled fall data that is rarely available for a new device.</w:t>
      </w:r>
    </w:p>
    <w:p>
      <w:pPr>
        <w:spacing w:after="160" w:line="360" w:lineRule="auto"/>
        <w:ind w:firstLine="0"/>
        <w:jc w:val="both"/>
      </w:pPr>
      <w:r>
        <w:rPr>
          <w:color w:val="000000"/>
        </w:rPr>
        <w:t>Health chatbots have the opposite problem: they explain fluently but are not reliable with numbers, and they decide whether a message is an emergency by reading the text alone. A person who has just fallen and replies “I’m fine, just a bit shaken” would be told they are fine. The motivation for this project is to combine the strengths of both worlds: a transparent, deterministic engine that computes risk from the ring’s data, and an agent that explains that risk in plain language while the sensors, the engine and the LLM check one another.</w:t>
      </w:r>
    </w:p>
    <w:p>
      <w:pPr>
        <w:keepNext/>
        <w:spacing w:before="320" w:after="120"/>
      </w:pPr>
      <w:r>
        <w:rPr>
          <w:b/>
          <w:color w:val="000000"/>
          <w:sz w:val="28"/>
        </w:rPr>
        <w:t>1.3 Problem Statement</w:t>
      </w:r>
    </w:p>
    <w:p>
      <w:pPr>
        <w:spacing w:after="160" w:line="360" w:lineRule="auto"/>
        <w:ind w:firstLine="0"/>
        <w:jc w:val="both"/>
      </w:pPr>
      <w:r>
        <w:rPr>
          <w:color w:val="000000"/>
        </w:rPr>
        <w:t>Given daily vital-sign and activity data from a smart ring, together with fall events recorded by the phone, the problem is to (i) estimate a person’s daily fall risk in a way that is personalised, explainable down to each measurement and robust to missing or stale data, without depending on a large labelled training set; (ii) explain that estimate through a conversational agent whose every number is traceable to the user’s data; and (iii) recognise emergencies even when the user’s message does not describe one.</w:t>
      </w:r>
    </w:p>
    <w:p>
      <w:pPr>
        <w:keepNext/>
        <w:spacing w:before="320" w:after="120"/>
      </w:pPr>
      <w:r>
        <w:rPr>
          <w:b/>
          <w:color w:val="000000"/>
          <w:sz w:val="28"/>
        </w:rPr>
        <w:t>1.4 Objectives</w:t>
      </w:r>
    </w:p>
    <w:p>
      <w:pPr>
        <w:pStyle w:val="ListParagraph"/>
        <w:numPr>
          <w:ilvl w:val="0"/>
          <w:numId w:val="100"/>
        </w:numPr>
        <w:spacing w:before="40" w:after="40" w:line="360" w:lineRule="auto"/>
        <w:jc w:val="both"/>
      </w:pPr>
      <w:r>
        <w:rPr>
          <w:color w:val="000000"/>
        </w:rPr>
        <w:t>To build a smart-ring application that collects, stores and displays daily vital signs (HR, HRV, SpO₂, skin temperature, blood pressure, stress, sleep and steps) and records fall events.</w:t>
      </w:r>
    </w:p>
    <w:p>
      <w:pPr>
        <w:pStyle w:val="ListParagraph"/>
        <w:numPr>
          <w:ilvl w:val="0"/>
          <w:numId w:val="100"/>
        </w:numPr>
        <w:spacing w:before="40" w:after="40" w:line="360" w:lineRule="auto"/>
        <w:jc w:val="both"/>
      </w:pPr>
      <w:r>
        <w:rPr>
          <w:color w:val="000000"/>
        </w:rPr>
        <w:t>To design a deterministic fall-risk engine based on personal robust baselines, with layer weights derived from published fall-risk evidence rather than tuned by hand.</w:t>
      </w:r>
    </w:p>
    <w:p>
      <w:pPr>
        <w:pStyle w:val="ListParagraph"/>
        <w:numPr>
          <w:ilvl w:val="0"/>
          <w:numId w:val="100"/>
        </w:numPr>
        <w:spacing w:before="40" w:after="40" w:line="360" w:lineRule="auto"/>
        <w:jc w:val="both"/>
      </w:pPr>
      <w:r>
        <w:rPr>
          <w:color w:val="000000"/>
        </w:rPr>
        <w:t>To make the score cycle-aware for women, so that normal menstrual-cycle changes are not counted as risk.</w:t>
      </w:r>
    </w:p>
    <w:p>
      <w:pPr>
        <w:pStyle w:val="ListParagraph"/>
        <w:numPr>
          <w:ilvl w:val="0"/>
          <w:numId w:val="100"/>
        </w:numPr>
        <w:spacing w:before="40" w:after="40" w:line="360" w:lineRule="auto"/>
        <w:jc w:val="both"/>
      </w:pPr>
      <w:r>
        <w:rPr>
          <w:color w:val="000000"/>
        </w:rPr>
        <w:t>To make the score fully explainable: the contribution of every measurement must add up exactly to the score.</w:t>
      </w:r>
    </w:p>
    <w:p>
      <w:pPr>
        <w:pStyle w:val="ListParagraph"/>
        <w:numPr>
          <w:ilvl w:val="0"/>
          <w:numId w:val="100"/>
        </w:numPr>
        <w:spacing w:before="40" w:after="40" w:line="360" w:lineRule="auto"/>
        <w:jc w:val="both"/>
      </w:pPr>
      <w:r>
        <w:rPr>
          <w:color w:val="000000"/>
        </w:rPr>
        <w:t>To build an agent that routes each question to the data it needs, detects emergencies from text and from ring fall events, and verifies every number in its reply against the user’s data.</w:t>
      </w:r>
    </w:p>
    <w:p>
      <w:pPr>
        <w:pStyle w:val="ListParagraph"/>
        <w:numPr>
          <w:ilvl w:val="0"/>
          <w:numId w:val="100"/>
        </w:numPr>
        <w:spacing w:before="40" w:after="40" w:line="360" w:lineRule="auto"/>
        <w:jc w:val="both"/>
      </w:pPr>
      <w:r>
        <w:rPr>
          <w:color w:val="000000"/>
        </w:rPr>
        <w:t>To validate the motion component on a real public dataset (PhysioNet LTMM) against a clinical reference, and to evaluate the agent against simpler baselines.</w:t>
      </w:r>
    </w:p>
    <w:p>
      <w:pPr>
        <w:keepNext/>
        <w:spacing w:before="320" w:after="120"/>
      </w:pPr>
      <w:r>
        <w:rPr>
          <w:b/>
          <w:color w:val="000000"/>
          <w:sz w:val="28"/>
        </w:rPr>
        <w:t>1.5 Scope of the Project</w:t>
      </w:r>
    </w:p>
    <w:p>
      <w:pPr>
        <w:spacing w:after="160" w:line="360" w:lineRule="auto"/>
        <w:ind w:firstLine="0"/>
        <w:jc w:val="both"/>
      </w:pPr>
      <w:r>
        <w:rPr>
          <w:color w:val="000000"/>
        </w:rPr>
        <w:t>The system covers data acquisition from a commercial Bluetooth smart ring through an Android application written in Flutter and Kotlin, storage in Supabase (PostgreSQL), a Python backend that hosts the fall-risk engine and the agent, and an application with three sections: a Home dashboard of vital signs, an AI Assist chat, and a Fall Risk page that shows the score and how it was calculated. The backend runs on a laptop on the same network as the phone, and the LLM is accessed through the Groq API.</w:t>
      </w:r>
    </w:p>
    <w:p>
      <w:pPr>
        <w:spacing w:after="160" w:line="360" w:lineRule="auto"/>
        <w:ind w:firstLine="0"/>
        <w:jc w:val="both"/>
      </w:pPr>
      <w:r>
        <w:rPr>
          <w:color w:val="000000"/>
        </w:rPr>
        <w:t>The system gives screening estimates; it does not diagnose and is not a certified medical device. Emergency SMS and automatic calling were deliberately left out of the final scope so that the prototype never contacts third parties on its own. The engine and agent are evaluated on a synthetic demonstration cohort and the motion layer on real gait recordings; a prospective clinical study of real falls is outside the scope of a one-semester project.</w:t>
      </w:r>
    </w:p>
    <w:p>
      <w:pPr>
        <w:keepNext/>
        <w:spacing w:before="320" w:after="120"/>
      </w:pPr>
      <w:r>
        <w:rPr>
          <w:b/>
          <w:color w:val="000000"/>
          <w:sz w:val="28"/>
        </w:rPr>
        <w:t>1.6 Contributions</w:t>
      </w:r>
    </w:p>
    <w:p>
      <w:pPr>
        <w:spacing w:after="160" w:line="360" w:lineRule="auto"/>
        <w:ind w:firstLine="0"/>
        <w:jc w:val="both"/>
      </w:pPr>
      <w:r>
        <w:rPr>
          <w:color w:val="000000"/>
        </w:rPr>
        <w:t>The main contributions of this work are:</w:t>
      </w:r>
    </w:p>
    <w:p>
      <w:pPr>
        <w:pStyle w:val="ListParagraph"/>
        <w:numPr>
          <w:ilvl w:val="0"/>
          <w:numId w:val="101"/>
        </w:numPr>
        <w:spacing w:before="40" w:after="40" w:line="360" w:lineRule="auto"/>
        <w:jc w:val="both"/>
      </w:pPr>
      <w:r>
        <w:rPr>
          <w:b/>
          <w:color w:val="000000"/>
        </w:rPr>
        <w:t>Evidence-derived, coverage-adaptive layer weights.</w:t>
      </w:r>
      <w:r>
        <w:rPr>
          <w:color w:val="000000"/>
        </w:rPr>
        <w:t xml:space="preserve"> Each layer weight is the natural logarithm of a published odds or risk ratio, normalised to sum to one, which is equivalent to borrowing logistic-regression coefficients from meta-analyses. Weights are renormalised by data coverage so that a missing sensor is not silently read as “no risk”.</w:t>
      </w:r>
    </w:p>
    <w:p>
      <w:pPr>
        <w:pStyle w:val="ListParagraph"/>
        <w:numPr>
          <w:ilvl w:val="0"/>
          <w:numId w:val="101"/>
        </w:numPr>
        <w:spacing w:before="40" w:after="40" w:line="360" w:lineRule="auto"/>
        <w:jc w:val="both"/>
      </w:pPr>
      <w:r>
        <w:rPr>
          <w:b/>
          <w:color w:val="000000"/>
        </w:rPr>
        <w:t>Cycle-aware personal baselines.</w:t>
      </w:r>
      <w:r>
        <w:rPr>
          <w:color w:val="000000"/>
        </w:rPr>
        <w:t xml:space="preserve"> HRV, resting heart rate and skin temperature are compared with same-phase days of the user’s menstrual cycle.</w:t>
      </w:r>
    </w:p>
    <w:p>
      <w:pPr>
        <w:pStyle w:val="ListParagraph"/>
        <w:numPr>
          <w:ilvl w:val="0"/>
          <w:numId w:val="101"/>
        </w:numPr>
        <w:spacing w:before="40" w:after="40" w:line="360" w:lineRule="auto"/>
        <w:jc w:val="both"/>
      </w:pPr>
      <w:r>
        <w:rPr>
          <w:b/>
          <w:color w:val="000000"/>
        </w:rPr>
        <w:t>Compute-then-explain with closed-loop grounding.</w:t>
      </w:r>
      <w:r>
        <w:rPr>
          <w:color w:val="000000"/>
        </w:rPr>
        <w:t xml:space="preserve"> The score is computed by the engine and never by the LLM; every number in a reply is checked against the user’s data, with one corrective regeneration.</w:t>
      </w:r>
    </w:p>
    <w:p>
      <w:pPr>
        <w:pStyle w:val="ListParagraph"/>
        <w:numPr>
          <w:ilvl w:val="0"/>
          <w:numId w:val="101"/>
        </w:numPr>
        <w:spacing w:before="40" w:after="40" w:line="360" w:lineRule="auto"/>
        <w:jc w:val="both"/>
      </w:pPr>
      <w:r>
        <w:rPr>
          <w:b/>
          <w:color w:val="000000"/>
        </w:rPr>
        <w:t>Tri-modal safety fusion.</w:t>
      </w:r>
      <w:r>
        <w:rPr>
          <w:color w:val="000000"/>
        </w:rPr>
        <w:t xml:space="preserve"> Emergency detection combines a keyword matcher, an LLM classifier and the ring’s fall event, so a calm message after a recent fall is still escalated.</w:t>
      </w:r>
    </w:p>
    <w:p>
      <w:pPr>
        <w:pStyle w:val="ListParagraph"/>
        <w:numPr>
          <w:ilvl w:val="0"/>
          <w:numId w:val="101"/>
        </w:numPr>
        <w:spacing w:before="40" w:after="40" w:line="360" w:lineRule="auto"/>
        <w:jc w:val="both"/>
      </w:pPr>
      <w:r>
        <w:rPr>
          <w:b/>
          <w:color w:val="000000"/>
        </w:rPr>
        <w:t>Real-data validation of the motion pipeline.</w:t>
      </w:r>
      <w:r>
        <w:rPr>
          <w:color w:val="000000"/>
        </w:rPr>
        <w:t xml:space="preserve"> A gait-analysis pipeline validated on 73 older adults from PhysioNet LTMM, with every pre-registered model reported.</w:t>
      </w:r>
    </w:p>
    <w:p>
      <w:pPr>
        <w:keepNext/>
        <w:spacing w:before="320" w:after="120"/>
      </w:pPr>
      <w:r>
        <w:rPr>
          <w:b/>
          <w:color w:val="000000"/>
          <w:sz w:val="28"/>
        </w:rPr>
        <w:t>1.7 Organisation of the Report</w:t>
      </w:r>
    </w:p>
    <w:p>
      <w:pPr>
        <w:spacing w:after="160" w:line="360" w:lineRule="auto"/>
        <w:ind w:firstLine="0"/>
        <w:jc w:val="both"/>
      </w:pPr>
      <w:r>
        <w:rPr>
          <w:color w:val="000000"/>
        </w:rPr>
        <w:t>Chapter 2 reviews prior work on health agents, self-verification, fall-risk factors, personal baselines and gait analysis, and identifies the gaps this work addresses. Chapter 3 describes the system architecture, the data sources, the fall-risk engine and its formulas, the gait pipeline, the agent and the evaluation protocol. Chapter 4 presents the implementation and the results of the engine, the real-data experiments and the agent evaluation, followed by a discussion and the limitations. Chapter 5 concludes the report and outlines future work. The appendices list the engine parameters, key source code and reproduction steps.</w:t>
      </w:r>
    </w:p>
    <w:p>
      <w:pPr>
        <w:keepNext/>
        <w:pageBreakBefore/>
        <w:spacing w:after="80"/>
        <w:jc w:val="center"/>
      </w:pPr>
      <w:r>
        <w:rPr>
          <w:b/>
          <w:color w:val="000000"/>
          <w:sz w:val="32"/>
        </w:rPr>
        <w:t>CHAPTER 2</w:t>
      </w:r>
    </w:p>
    <w:p>
      <w:pPr>
        <w:keepNext/>
        <w:spacing w:before="40" w:after="280"/>
        <w:jc w:val="center"/>
      </w:pPr>
      <w:r>
        <w:rPr>
          <w:b/>
          <w:color w:val="000000"/>
          <w:sz w:val="32"/>
        </w:rPr>
        <w:t>Literature Survey</w:t>
      </w:r>
    </w:p>
    <w:p>
      <w:pPr>
        <w:spacing w:after="160" w:line="360" w:lineRule="auto"/>
        <w:ind w:firstLine="0"/>
        <w:jc w:val="both"/>
      </w:pPr>
      <w:r>
        <w:rPr>
          <w:color w:val="000000"/>
        </w:rPr>
        <w:t>The literature relevant to this project falls into four groups: LLM agents that reason over personal wearable data; methods that make LLM outputs more reliable through reasoning and self-verification; clinical evidence on fall-risk factors and on personal-baseline monitoring; and signal-processing methods for gait analysis. Twenty-two works were reviewed. Papers [1]–[10] were studied at the first review and papers [11]–[22] were added for the fall-prediction work.</w:t>
      </w:r>
    </w:p>
    <w:p>
      <w:pPr>
        <w:keepNext/>
        <w:spacing w:before="320" w:after="120"/>
      </w:pPr>
      <w:r>
        <w:rPr>
          <w:b/>
          <w:color w:val="000000"/>
          <w:sz w:val="28"/>
        </w:rPr>
        <w:t>2.1 LLM Agents for Personal Health Data</w:t>
      </w:r>
    </w:p>
    <w:p>
      <w:pPr>
        <w:spacing w:after="160" w:line="360" w:lineRule="auto"/>
        <w:ind w:firstLine="0"/>
        <w:jc w:val="both"/>
      </w:pPr>
      <w:r>
        <w:rPr>
          <w:color w:val="000000"/>
        </w:rPr>
        <w:t>Mohammed et al. [1] present an agentic health-analytics pipeline that turns data from several wearables into explainable well-being insights. Its reasoning layer separates data-grounded facts, physiological rationale and small actionable habits, and keeps numerical processing separate from text generation to reduce hallucination. However, it processes all metrics for every query and has no safety layer. Merrill et al. [2] introduce the Personal Health Insights Agent (PHIA), which combines multistep reasoning, code generation and web search; in a 650-hour expert evaluation it reached 84% accuracy on objective numerical questions and 83% favourable ratings on open-ended ones. It does not, however, address emergencies or selective data retrieval.</w:t>
      </w:r>
    </w:p>
    <w:p>
      <w:pPr>
        <w:spacing w:after="160" w:line="360" w:lineRule="auto"/>
        <w:ind w:firstLine="0"/>
        <w:jc w:val="both"/>
      </w:pPr>
      <w:r>
        <w:rPr>
          <w:color w:val="000000"/>
        </w:rPr>
        <w:t>Lu, Abbasian and Rahmani [3] organise wearable metrics into a personal knowledge graph and retrieve a query-specific subgraph, winning about 70% of comparisons against baseline and standard retrieval-augmented generation (RAG) on more than 10,000 queries; retrieval is not linked to urgency or safety. Zhang et al. [4] propose RubricsTree, a taxonomy of more than 100 clinically verifiable rubrics with a router that activates the relevant subset for each query, for evaluating personal health agents. Saha et al. [5] select among task-specialised models with an attentive neural process. Together these works show that routing and grounding matter in health agents, but none couples data retrieval with safety, and none lets a physiological signal override the text of the conversation.</w:t>
      </w:r>
    </w:p>
    <w:p>
      <w:pPr>
        <w:keepNext/>
        <w:spacing w:before="320" w:after="120"/>
      </w:pPr>
      <w:r>
        <w:rPr>
          <w:b/>
          <w:color w:val="000000"/>
          <w:sz w:val="28"/>
        </w:rPr>
        <w:t>2.2 Reasoning and Self-Verification in LLMs</w:t>
      </w:r>
    </w:p>
    <w:p>
      <w:pPr>
        <w:spacing w:after="160" w:line="360" w:lineRule="auto"/>
        <w:ind w:firstLine="0"/>
        <w:jc w:val="both"/>
      </w:pPr>
      <w:r>
        <w:rPr>
          <w:color w:val="000000"/>
        </w:rPr>
        <w:t>ReAct [6] interleaves reasoning traces with tool actions and improves interpretability over reasoning-only or acting-only prompting. SelfCheckGPT [7] detects hallucinations by sampling a model several times and measuring inconsistency, without access to ground truth, at the cost of many extra calls. Self-Refine [8] lets the same model critique and revise its output and reports an average gain of about 20% across seven tasks. Ateia and Kruschwitz [9] apply a generate–evaluate–refine loop to biomedical question answering and find that the gains vary across models. Fu et al. [10] build a self-evolving agent that distils past correction episodes into memory to write evidence-grounded health community notes.</w:t>
      </w:r>
    </w:p>
    <w:p>
      <w:pPr>
        <w:spacing w:after="160" w:line="360" w:lineRule="auto"/>
        <w:ind w:firstLine="0"/>
        <w:jc w:val="both"/>
      </w:pPr>
      <w:r>
        <w:rPr>
          <w:color w:val="000000"/>
        </w:rPr>
        <w:t>These methods verify an answer against the model itself or against general knowledge. For a personal health assistant, a stronger and cheaper check is available: the user’s own data. This project therefore checks every number in the reply against the patient data that was given to the model, and regenerates once if any number is not found.</w:t>
      </w:r>
    </w:p>
    <w:p>
      <w:pPr>
        <w:keepNext/>
        <w:spacing w:before="320" w:after="120"/>
      </w:pPr>
      <w:r>
        <w:rPr>
          <w:b/>
          <w:color w:val="000000"/>
          <w:sz w:val="28"/>
        </w:rPr>
        <w:t>2.3 Fall-Risk Factors and Personal Baselines</w:t>
      </w:r>
    </w:p>
    <w:p>
      <w:pPr>
        <w:spacing w:after="160" w:line="360" w:lineRule="auto"/>
        <w:ind w:firstLine="0"/>
        <w:jc w:val="both"/>
      </w:pPr>
      <w:r>
        <w:rPr>
          <w:color w:val="000000"/>
        </w:rPr>
        <w:t>Deandrea et al. [11] pooled 74 prospective studies of community-dwelling older people. The strongest risk factors included a history of falls (odds ratio, OR, 2.8 for all fallers and 3.5 for recurrent fallers) and gait problems (OR 2.1 and 2.2). Hausdorff et al. [12] showed in a one-year prospective study that stride-time variability predicts future falls. Mol et al. [13] pooled 50 studies with 49,164 participants and found an OR of 1.73 (95% CI 1.50–1.99) between orthostatic hypotension and falls. In the Study of Women’s Health Across the Nation (SWAN), Baker et al. [14] found that women who frequently had trouble falling asleep had about a 27% higher risk of a later fall (relative risk, RR, 1.27). These four effect sizes provide the weights of the four layers of our engine.</w:t>
      </w:r>
    </w:p>
    <w:p>
      <w:pPr>
        <w:spacing w:after="160" w:line="360" w:lineRule="auto"/>
        <w:ind w:firstLine="0"/>
        <w:jc w:val="both"/>
      </w:pPr>
      <w:r>
        <w:rPr>
          <w:color w:val="000000"/>
        </w:rPr>
        <w:t>Mishra et al. [15] showed that deviations from a person’s own resting-heart-rate baseline, measured by a smartwatch, flagged COVID-19 before symptoms appeared, establishing personal-baseline deviation as a practical signal. For women, the baseline itself moves with the menstrual cycle. Alzueta et al. [16] followed 26 women with an Oura ring and found higher distal skin temperature and heart rate during sleep in the mid- and late-luteal phases than during menses and ovulation, and de Jager et al. [17] review how wearable-derived HRV varies across the cycle and with hormonal contraception. No wearable fall-risk score that we found adjusts its baselines to the cycle phase.</w:t>
      </w:r>
    </w:p>
    <w:p>
      <w:pPr>
        <w:keepNext/>
        <w:spacing w:before="320" w:after="120"/>
      </w:pPr>
      <w:r>
        <w:rPr>
          <w:b/>
          <w:color w:val="000000"/>
          <w:sz w:val="28"/>
        </w:rPr>
        <w:t>2.4 Gait Analysis for Fall Risk</w:t>
      </w:r>
    </w:p>
    <w:p>
      <w:pPr>
        <w:spacing w:after="160" w:line="360" w:lineRule="auto"/>
        <w:ind w:firstLine="0"/>
        <w:jc w:val="both"/>
      </w:pPr>
      <w:r>
        <w:rPr>
          <w:color w:val="000000"/>
        </w:rPr>
        <w:t>Askhatova et al. [18] trained a temporal convolutional network on lower-back IMU data from the PhysioNet LTMM database, using one-minute laboratory walks, three-day recordings and demographics with subject-wise cross-validation, and report an AUC of 0.749; the model is accurate but not explainable. Weiss et al. [19], who created the LTMM data, showed that gait quality measured during daily life differs between fallers and non-fallers. McCamley et al. [20] estimate initial and final foot contacts from a single lower-trunk sensor using a Gaussian continuous wavelet approach. Moe-Nilssen and Helbostad [21] derive step and stride regularity from the autocorrelation of trunk acceleration. Drover et al. [22] showed that features from turns, in addition to straight walking, help classify fallers. These methods form the building blocks of our gait pipeline (Section 3.5), which we validate on the LTMM dataset [23].</w:t>
      </w:r>
    </w:p>
    <w:p>
      <w:pPr>
        <w:keepNext/>
        <w:spacing w:before="320" w:after="120"/>
      </w:pPr>
      <w:r>
        <w:rPr>
          <w:b/>
          <w:color w:val="000000"/>
          <w:sz w:val="28"/>
        </w:rPr>
        <w:t>2.5 Comparison of Existing Approaches</w:t>
      </w:r>
    </w:p>
    <w:p>
      <w:pPr>
        <w:keepNext/>
        <w:spacing w:before="200" w:after="80"/>
        <w:jc w:val="center"/>
      </w:pPr>
      <w:r>
        <w:rPr>
          <w:i/>
          <w:color w:val="000000"/>
          <w:sz w:val="22"/>
        </w:rPr>
        <w:t>Table 2.1: Summary of the reviewed literature</w:t>
      </w:r>
    </w:p>
    <w:tbl>
      <w:tblPr>
        <w:tblStyle w:val="TableGrid"/>
        <w:tblW w:w="8561" w:type="dxa"/>
        <w:jc w:val="center"/>
        <w:tblLayout w:type="fixed"/>
        <w:tblLook w:firstColumn="1" w:firstRow="1" w:lastColumn="0" w:lastRow="0" w:noHBand="0" w:noVBand="1" w:val="04A0"/>
      </w:tblPr>
      <w:tblGrid>
        <w:gridCol w:w="567"/>
        <w:gridCol w:w="1701"/>
        <w:gridCol w:w="2041"/>
        <w:gridCol w:w="1984"/>
        <w:gridCol w:w="2268"/>
      </w:tblGrid>
      <w:tr>
        <w:trPr>
          <w:cantSplit/>
          <w:tblHeader/>
        </w:trPr>
        <w:tc>
          <w:tcPr>
            <w:tcW w:w="567" w:type="dxa"/>
            <w:shd w:val="clear" w:color="auto" w:fill="E7E6E6"/>
            <w:vAlign w:val="center"/>
          </w:tcPr>
          <w:p>
            <w:pPr>
              <w:spacing w:before="20" w:after="20"/>
              <w:jc w:val="center"/>
            </w:pPr>
            <w:r>
              <w:rPr>
                <w:b/>
                <w:color w:val="000000"/>
                <w:sz w:val="17"/>
              </w:rPr>
              <w:t>No.</w:t>
            </w:r>
          </w:p>
        </w:tc>
        <w:tc>
          <w:tcPr>
            <w:tcW w:w="1701" w:type="dxa"/>
            <w:shd w:val="clear" w:color="auto" w:fill="E7E6E6"/>
            <w:vAlign w:val="center"/>
          </w:tcPr>
          <w:p>
            <w:pPr>
              <w:spacing w:before="20" w:after="20"/>
              <w:jc w:val="center"/>
            </w:pPr>
            <w:r>
              <w:rPr>
                <w:b/>
                <w:color w:val="000000"/>
                <w:sz w:val="17"/>
              </w:rPr>
              <w:t>Work</w:t>
            </w:r>
          </w:p>
        </w:tc>
        <w:tc>
          <w:tcPr>
            <w:tcW w:w="2041" w:type="dxa"/>
            <w:shd w:val="clear" w:color="auto" w:fill="E7E6E6"/>
            <w:vAlign w:val="center"/>
          </w:tcPr>
          <w:p>
            <w:pPr>
              <w:spacing w:before="20" w:after="20"/>
              <w:jc w:val="center"/>
            </w:pPr>
            <w:r>
              <w:rPr>
                <w:b/>
                <w:color w:val="000000"/>
                <w:sz w:val="17"/>
              </w:rPr>
              <w:t>Method</w:t>
            </w:r>
          </w:p>
        </w:tc>
        <w:tc>
          <w:tcPr>
            <w:tcW w:w="1984" w:type="dxa"/>
            <w:shd w:val="clear" w:color="auto" w:fill="E7E6E6"/>
            <w:vAlign w:val="center"/>
          </w:tcPr>
          <w:p>
            <w:pPr>
              <w:spacing w:before="20" w:after="20"/>
              <w:jc w:val="center"/>
            </w:pPr>
            <w:r>
              <w:rPr>
                <w:b/>
                <w:color w:val="000000"/>
                <w:sz w:val="17"/>
              </w:rPr>
              <w:t>Key finding</w:t>
            </w:r>
          </w:p>
        </w:tc>
        <w:tc>
          <w:tcPr>
            <w:tcW w:w="2268" w:type="dxa"/>
            <w:shd w:val="clear" w:color="auto" w:fill="E7E6E6"/>
            <w:vAlign w:val="center"/>
          </w:tcPr>
          <w:p>
            <w:pPr>
              <w:spacing w:before="20" w:after="20"/>
              <w:jc w:val="center"/>
            </w:pPr>
            <w:r>
              <w:rPr>
                <w:b/>
                <w:color w:val="000000"/>
                <w:sz w:val="17"/>
              </w:rPr>
              <w:t>Gap relevant to this project</w:t>
            </w:r>
          </w:p>
        </w:tc>
      </w:tr>
      <w:tr>
        <w:trPr>
          <w:cantSplit/>
        </w:trPr>
        <w:tc>
          <w:tcPr>
            <w:tcW w:w="567" w:type="dxa"/>
            <w:vAlign w:val="center"/>
          </w:tcPr>
          <w:p>
            <w:pPr>
              <w:spacing w:before="20" w:after="20"/>
              <w:jc w:val="left"/>
            </w:pPr>
            <w:r>
              <w:rPr>
                <w:color w:val="000000"/>
                <w:sz w:val="17"/>
              </w:rPr>
              <w:t>[1]</w:t>
            </w:r>
          </w:p>
        </w:tc>
        <w:tc>
          <w:tcPr>
            <w:tcW w:w="1701" w:type="dxa"/>
            <w:vAlign w:val="center"/>
          </w:tcPr>
          <w:p>
            <w:pPr>
              <w:spacing w:before="20" w:after="20"/>
              <w:jc w:val="left"/>
            </w:pPr>
            <w:r>
              <w:rPr>
                <w:color w:val="000000"/>
                <w:sz w:val="17"/>
              </w:rPr>
              <w:t>Mohammed et al., 2026</w:t>
            </w:r>
          </w:p>
        </w:tc>
        <w:tc>
          <w:tcPr>
            <w:tcW w:w="2041" w:type="dxa"/>
            <w:vAlign w:val="center"/>
          </w:tcPr>
          <w:p>
            <w:pPr>
              <w:spacing w:before="20" w:after="20"/>
              <w:jc w:val="left"/>
            </w:pPr>
            <w:r>
              <w:rPr>
                <w:color w:val="000000"/>
                <w:sz w:val="17"/>
              </w:rPr>
              <w:t>Fact → rationale → action agent</w:t>
            </w:r>
          </w:p>
        </w:tc>
        <w:tc>
          <w:tcPr>
            <w:tcW w:w="1984" w:type="dxa"/>
            <w:vAlign w:val="center"/>
          </w:tcPr>
          <w:p>
            <w:pPr>
              <w:spacing w:before="20" w:after="20"/>
              <w:jc w:val="left"/>
            </w:pPr>
            <w:r>
              <w:rPr>
                <w:color w:val="000000"/>
                <w:sz w:val="17"/>
              </w:rPr>
              <w:t>Traceable insights</w:t>
            </w:r>
          </w:p>
        </w:tc>
        <w:tc>
          <w:tcPr>
            <w:tcW w:w="2268" w:type="dxa"/>
            <w:vAlign w:val="center"/>
          </w:tcPr>
          <w:p>
            <w:pPr>
              <w:spacing w:before="20" w:after="20"/>
              <w:jc w:val="left"/>
            </w:pPr>
            <w:r>
              <w:rPr>
                <w:color w:val="000000"/>
                <w:sz w:val="17"/>
              </w:rPr>
              <w:t>Fetches all data; no safety layer</w:t>
            </w:r>
          </w:p>
        </w:tc>
      </w:tr>
      <w:tr>
        <w:trPr>
          <w:cantSplit/>
        </w:trPr>
        <w:tc>
          <w:tcPr>
            <w:tcW w:w="567" w:type="dxa"/>
            <w:vAlign w:val="center"/>
          </w:tcPr>
          <w:p>
            <w:pPr>
              <w:spacing w:before="20" w:after="20"/>
              <w:jc w:val="left"/>
            </w:pPr>
            <w:r>
              <w:rPr>
                <w:color w:val="000000"/>
                <w:sz w:val="17"/>
              </w:rPr>
              <w:t>[2]</w:t>
            </w:r>
          </w:p>
        </w:tc>
        <w:tc>
          <w:tcPr>
            <w:tcW w:w="1701" w:type="dxa"/>
            <w:vAlign w:val="center"/>
          </w:tcPr>
          <w:p>
            <w:pPr>
              <w:spacing w:before="20" w:after="20"/>
              <w:jc w:val="left"/>
            </w:pPr>
            <w:r>
              <w:rPr>
                <w:color w:val="000000"/>
                <w:sz w:val="17"/>
              </w:rPr>
              <w:t>Merrill et al., 2026</w:t>
            </w:r>
          </w:p>
        </w:tc>
        <w:tc>
          <w:tcPr>
            <w:tcW w:w="2041" w:type="dxa"/>
            <w:vAlign w:val="center"/>
          </w:tcPr>
          <w:p>
            <w:pPr>
              <w:spacing w:before="20" w:after="20"/>
              <w:jc w:val="left"/>
            </w:pPr>
            <w:r>
              <w:rPr>
                <w:color w:val="000000"/>
                <w:sz w:val="17"/>
              </w:rPr>
              <w:t>LLM agent with code generation</w:t>
            </w:r>
          </w:p>
        </w:tc>
        <w:tc>
          <w:tcPr>
            <w:tcW w:w="1984" w:type="dxa"/>
            <w:vAlign w:val="center"/>
          </w:tcPr>
          <w:p>
            <w:pPr>
              <w:spacing w:before="20" w:after="20"/>
              <w:jc w:val="left"/>
            </w:pPr>
            <w:r>
              <w:rPr>
                <w:color w:val="000000"/>
                <w:sz w:val="17"/>
              </w:rPr>
              <w:t>84% numeric accuracy</w:t>
            </w:r>
          </w:p>
        </w:tc>
        <w:tc>
          <w:tcPr>
            <w:tcW w:w="2268" w:type="dxa"/>
            <w:vAlign w:val="center"/>
          </w:tcPr>
          <w:p>
            <w:pPr>
              <w:spacing w:before="20" w:after="20"/>
              <w:jc w:val="left"/>
            </w:pPr>
            <w:r>
              <w:rPr>
                <w:color w:val="000000"/>
                <w:sz w:val="17"/>
              </w:rPr>
              <w:t>No emergency handling</w:t>
            </w:r>
          </w:p>
        </w:tc>
      </w:tr>
      <w:tr>
        <w:trPr>
          <w:cantSplit/>
        </w:trPr>
        <w:tc>
          <w:tcPr>
            <w:tcW w:w="567" w:type="dxa"/>
            <w:vAlign w:val="center"/>
          </w:tcPr>
          <w:p>
            <w:pPr>
              <w:spacing w:before="20" w:after="20"/>
              <w:jc w:val="left"/>
            </w:pPr>
            <w:r>
              <w:rPr>
                <w:color w:val="000000"/>
                <w:sz w:val="17"/>
              </w:rPr>
              <w:t>[3]</w:t>
            </w:r>
          </w:p>
        </w:tc>
        <w:tc>
          <w:tcPr>
            <w:tcW w:w="1701" w:type="dxa"/>
            <w:vAlign w:val="center"/>
          </w:tcPr>
          <w:p>
            <w:pPr>
              <w:spacing w:before="20" w:after="20"/>
              <w:jc w:val="left"/>
            </w:pPr>
            <w:r>
              <w:rPr>
                <w:color w:val="000000"/>
                <w:sz w:val="17"/>
              </w:rPr>
              <w:t>Lu et al., 2026</w:t>
            </w:r>
          </w:p>
        </w:tc>
        <w:tc>
          <w:tcPr>
            <w:tcW w:w="2041" w:type="dxa"/>
            <w:vAlign w:val="center"/>
          </w:tcPr>
          <w:p>
            <w:pPr>
              <w:spacing w:before="20" w:after="20"/>
              <w:jc w:val="left"/>
            </w:pPr>
            <w:r>
              <w:rPr>
                <w:color w:val="000000"/>
                <w:sz w:val="17"/>
              </w:rPr>
              <w:t>Query-conditioned graph retrieval</w:t>
            </w:r>
          </w:p>
        </w:tc>
        <w:tc>
          <w:tcPr>
            <w:tcW w:w="1984" w:type="dxa"/>
            <w:vAlign w:val="center"/>
          </w:tcPr>
          <w:p>
            <w:pPr>
              <w:spacing w:before="20" w:after="20"/>
              <w:jc w:val="left"/>
            </w:pPr>
            <w:r>
              <w:rPr>
                <w:color w:val="000000"/>
                <w:sz w:val="17"/>
              </w:rPr>
              <w:t>~70% win rate vs RAG</w:t>
            </w:r>
          </w:p>
        </w:tc>
        <w:tc>
          <w:tcPr>
            <w:tcW w:w="2268" w:type="dxa"/>
            <w:vAlign w:val="center"/>
          </w:tcPr>
          <w:p>
            <w:pPr>
              <w:spacing w:before="20" w:after="20"/>
              <w:jc w:val="left"/>
            </w:pPr>
            <w:r>
              <w:rPr>
                <w:color w:val="000000"/>
                <w:sz w:val="17"/>
              </w:rPr>
              <w:t>Retrieval not linked to safety</w:t>
            </w:r>
          </w:p>
        </w:tc>
      </w:tr>
      <w:tr>
        <w:trPr>
          <w:cantSplit/>
        </w:trPr>
        <w:tc>
          <w:tcPr>
            <w:tcW w:w="567" w:type="dxa"/>
            <w:vAlign w:val="center"/>
          </w:tcPr>
          <w:p>
            <w:pPr>
              <w:spacing w:before="20" w:after="20"/>
              <w:jc w:val="left"/>
            </w:pPr>
            <w:r>
              <w:rPr>
                <w:color w:val="000000"/>
                <w:sz w:val="17"/>
              </w:rPr>
              <w:t>[4]</w:t>
            </w:r>
          </w:p>
        </w:tc>
        <w:tc>
          <w:tcPr>
            <w:tcW w:w="1701" w:type="dxa"/>
            <w:vAlign w:val="center"/>
          </w:tcPr>
          <w:p>
            <w:pPr>
              <w:spacing w:before="20" w:after="20"/>
              <w:jc w:val="left"/>
            </w:pPr>
            <w:r>
              <w:rPr>
                <w:color w:val="000000"/>
                <w:sz w:val="17"/>
              </w:rPr>
              <w:t>Zhang et al., 2026</w:t>
            </w:r>
          </w:p>
        </w:tc>
        <w:tc>
          <w:tcPr>
            <w:tcW w:w="2041" w:type="dxa"/>
            <w:vAlign w:val="center"/>
          </w:tcPr>
          <w:p>
            <w:pPr>
              <w:spacing w:before="20" w:after="20"/>
              <w:jc w:val="left"/>
            </w:pPr>
            <w:r>
              <w:rPr>
                <w:color w:val="000000"/>
                <w:sz w:val="17"/>
              </w:rPr>
              <w:t>Rubric router for evaluation</w:t>
            </w:r>
          </w:p>
        </w:tc>
        <w:tc>
          <w:tcPr>
            <w:tcW w:w="1984" w:type="dxa"/>
            <w:vAlign w:val="center"/>
          </w:tcPr>
          <w:p>
            <w:pPr>
              <w:spacing w:before="20" w:after="20"/>
              <w:jc w:val="left"/>
            </w:pPr>
            <w:r>
              <w:rPr>
                <w:color w:val="000000"/>
                <w:sz w:val="17"/>
              </w:rPr>
              <w:t>Scalable evaluation</w:t>
            </w:r>
          </w:p>
        </w:tc>
        <w:tc>
          <w:tcPr>
            <w:tcW w:w="2268" w:type="dxa"/>
            <w:vAlign w:val="center"/>
          </w:tcPr>
          <w:p>
            <w:pPr>
              <w:spacing w:before="20" w:after="20"/>
              <w:jc w:val="left"/>
            </w:pPr>
            <w:r>
              <w:rPr>
                <w:color w:val="000000"/>
                <w:sz w:val="17"/>
              </w:rPr>
              <w:t>Routes rubrics, not data</w:t>
            </w:r>
          </w:p>
        </w:tc>
      </w:tr>
      <w:tr>
        <w:trPr>
          <w:cantSplit/>
        </w:trPr>
        <w:tc>
          <w:tcPr>
            <w:tcW w:w="567" w:type="dxa"/>
            <w:vAlign w:val="center"/>
          </w:tcPr>
          <w:p>
            <w:pPr>
              <w:spacing w:before="20" w:after="20"/>
              <w:jc w:val="left"/>
            </w:pPr>
            <w:r>
              <w:rPr>
                <w:color w:val="000000"/>
                <w:sz w:val="17"/>
              </w:rPr>
              <w:t>[5]</w:t>
            </w:r>
          </w:p>
        </w:tc>
        <w:tc>
          <w:tcPr>
            <w:tcW w:w="1701" w:type="dxa"/>
            <w:vAlign w:val="center"/>
          </w:tcPr>
          <w:p>
            <w:pPr>
              <w:spacing w:before="20" w:after="20"/>
              <w:jc w:val="left"/>
            </w:pPr>
            <w:r>
              <w:rPr>
                <w:color w:val="000000"/>
                <w:sz w:val="17"/>
              </w:rPr>
              <w:t>Saha et al., 2026</w:t>
            </w:r>
          </w:p>
        </w:tc>
        <w:tc>
          <w:tcPr>
            <w:tcW w:w="2041" w:type="dxa"/>
            <w:vAlign w:val="center"/>
          </w:tcPr>
          <w:p>
            <w:pPr>
              <w:spacing w:before="20" w:after="20"/>
              <w:jc w:val="left"/>
            </w:pPr>
            <w:r>
              <w:rPr>
                <w:color w:val="000000"/>
                <w:sz w:val="17"/>
              </w:rPr>
              <w:t>Neural-process model selection</w:t>
            </w:r>
          </w:p>
        </w:tc>
        <w:tc>
          <w:tcPr>
            <w:tcW w:w="1984" w:type="dxa"/>
            <w:vAlign w:val="center"/>
          </w:tcPr>
          <w:p>
            <w:pPr>
              <w:spacing w:before="20" w:after="20"/>
              <w:jc w:val="left"/>
            </w:pPr>
            <w:r>
              <w:rPr>
                <w:color w:val="000000"/>
                <w:sz w:val="17"/>
              </w:rPr>
              <w:t>Better tool choice</w:t>
            </w:r>
          </w:p>
        </w:tc>
        <w:tc>
          <w:tcPr>
            <w:tcW w:w="2268" w:type="dxa"/>
            <w:vAlign w:val="center"/>
          </w:tcPr>
          <w:p>
            <w:pPr>
              <w:spacing w:before="20" w:after="20"/>
              <w:jc w:val="left"/>
            </w:pPr>
            <w:r>
              <w:rPr>
                <w:color w:val="000000"/>
                <w:sz w:val="17"/>
              </w:rPr>
              <w:t>No biometric context</w:t>
            </w:r>
          </w:p>
        </w:tc>
      </w:tr>
      <w:tr>
        <w:trPr>
          <w:cantSplit/>
        </w:trPr>
        <w:tc>
          <w:tcPr>
            <w:tcW w:w="567" w:type="dxa"/>
            <w:vAlign w:val="center"/>
          </w:tcPr>
          <w:p>
            <w:pPr>
              <w:spacing w:before="20" w:after="20"/>
              <w:jc w:val="left"/>
            </w:pPr>
            <w:r>
              <w:rPr>
                <w:color w:val="000000"/>
                <w:sz w:val="17"/>
              </w:rPr>
              <w:t>[6]</w:t>
            </w:r>
          </w:p>
        </w:tc>
        <w:tc>
          <w:tcPr>
            <w:tcW w:w="1701" w:type="dxa"/>
            <w:vAlign w:val="center"/>
          </w:tcPr>
          <w:p>
            <w:pPr>
              <w:spacing w:before="20" w:after="20"/>
              <w:jc w:val="left"/>
            </w:pPr>
            <w:r>
              <w:rPr>
                <w:color w:val="000000"/>
                <w:sz w:val="17"/>
              </w:rPr>
              <w:t>Yao et al., 2023</w:t>
            </w:r>
          </w:p>
        </w:tc>
        <w:tc>
          <w:tcPr>
            <w:tcW w:w="2041" w:type="dxa"/>
            <w:vAlign w:val="center"/>
          </w:tcPr>
          <w:p>
            <w:pPr>
              <w:spacing w:before="20" w:after="20"/>
              <w:jc w:val="left"/>
            </w:pPr>
            <w:r>
              <w:rPr>
                <w:color w:val="000000"/>
                <w:sz w:val="17"/>
              </w:rPr>
              <w:t>Reasoning + acting (ReAct)</w:t>
            </w:r>
          </w:p>
        </w:tc>
        <w:tc>
          <w:tcPr>
            <w:tcW w:w="1984" w:type="dxa"/>
            <w:vAlign w:val="center"/>
          </w:tcPr>
          <w:p>
            <w:pPr>
              <w:spacing w:before="20" w:after="20"/>
              <w:jc w:val="left"/>
            </w:pPr>
            <w:r>
              <w:rPr>
                <w:color w:val="000000"/>
                <w:sz w:val="17"/>
              </w:rPr>
              <w:t>More interpretable agents</w:t>
            </w:r>
          </w:p>
        </w:tc>
        <w:tc>
          <w:tcPr>
            <w:tcW w:w="2268" w:type="dxa"/>
            <w:vAlign w:val="center"/>
          </w:tcPr>
          <w:p>
            <w:pPr>
              <w:spacing w:before="20" w:after="20"/>
              <w:jc w:val="left"/>
            </w:pPr>
            <w:r>
              <w:rPr>
                <w:color w:val="000000"/>
                <w:sz w:val="17"/>
              </w:rPr>
              <w:t>Generic, no safety coupling</w:t>
            </w:r>
          </w:p>
        </w:tc>
      </w:tr>
      <w:tr>
        <w:trPr>
          <w:cantSplit/>
        </w:trPr>
        <w:tc>
          <w:tcPr>
            <w:tcW w:w="567" w:type="dxa"/>
            <w:vAlign w:val="center"/>
          </w:tcPr>
          <w:p>
            <w:pPr>
              <w:spacing w:before="20" w:after="20"/>
              <w:jc w:val="left"/>
            </w:pPr>
            <w:r>
              <w:rPr>
                <w:color w:val="000000"/>
                <w:sz w:val="17"/>
              </w:rPr>
              <w:t>[7]</w:t>
            </w:r>
          </w:p>
        </w:tc>
        <w:tc>
          <w:tcPr>
            <w:tcW w:w="1701" w:type="dxa"/>
            <w:vAlign w:val="center"/>
          </w:tcPr>
          <w:p>
            <w:pPr>
              <w:spacing w:before="20" w:after="20"/>
              <w:jc w:val="left"/>
            </w:pPr>
            <w:r>
              <w:rPr>
                <w:color w:val="000000"/>
                <w:sz w:val="17"/>
              </w:rPr>
              <w:t>Manakul et al., 2023</w:t>
            </w:r>
          </w:p>
        </w:tc>
        <w:tc>
          <w:tcPr>
            <w:tcW w:w="2041" w:type="dxa"/>
            <w:vAlign w:val="center"/>
          </w:tcPr>
          <w:p>
            <w:pPr>
              <w:spacing w:before="20" w:after="20"/>
              <w:jc w:val="left"/>
            </w:pPr>
            <w:r>
              <w:rPr>
                <w:color w:val="000000"/>
                <w:sz w:val="17"/>
              </w:rPr>
              <w:t>Sampling consistency</w:t>
            </w:r>
          </w:p>
        </w:tc>
        <w:tc>
          <w:tcPr>
            <w:tcW w:w="1984" w:type="dxa"/>
            <w:vAlign w:val="center"/>
          </w:tcPr>
          <w:p>
            <w:pPr>
              <w:spacing w:before="20" w:after="20"/>
              <w:jc w:val="left"/>
            </w:pPr>
            <w:r>
              <w:rPr>
                <w:color w:val="000000"/>
                <w:sz w:val="17"/>
              </w:rPr>
              <w:t>Detects hallucination</w:t>
            </w:r>
          </w:p>
        </w:tc>
        <w:tc>
          <w:tcPr>
            <w:tcW w:w="2268" w:type="dxa"/>
            <w:vAlign w:val="center"/>
          </w:tcPr>
          <w:p>
            <w:pPr>
              <w:spacing w:before="20" w:after="20"/>
              <w:jc w:val="left"/>
            </w:pPr>
            <w:r>
              <w:rPr>
                <w:color w:val="000000"/>
                <w:sz w:val="17"/>
              </w:rPr>
              <w:t>No ground-truth data; costly</w:t>
            </w:r>
          </w:p>
        </w:tc>
      </w:tr>
      <w:tr>
        <w:trPr>
          <w:cantSplit/>
        </w:trPr>
        <w:tc>
          <w:tcPr>
            <w:tcW w:w="567" w:type="dxa"/>
            <w:vAlign w:val="center"/>
          </w:tcPr>
          <w:p>
            <w:pPr>
              <w:spacing w:before="20" w:after="20"/>
              <w:jc w:val="left"/>
            </w:pPr>
            <w:r>
              <w:rPr>
                <w:color w:val="000000"/>
                <w:sz w:val="17"/>
              </w:rPr>
              <w:t>[8]</w:t>
            </w:r>
          </w:p>
        </w:tc>
        <w:tc>
          <w:tcPr>
            <w:tcW w:w="1701" w:type="dxa"/>
            <w:vAlign w:val="center"/>
          </w:tcPr>
          <w:p>
            <w:pPr>
              <w:spacing w:before="20" w:after="20"/>
              <w:jc w:val="left"/>
            </w:pPr>
            <w:r>
              <w:rPr>
                <w:color w:val="000000"/>
                <w:sz w:val="17"/>
              </w:rPr>
              <w:t>Madaan et al., 2023</w:t>
            </w:r>
          </w:p>
        </w:tc>
        <w:tc>
          <w:tcPr>
            <w:tcW w:w="2041" w:type="dxa"/>
            <w:vAlign w:val="center"/>
          </w:tcPr>
          <w:p>
            <w:pPr>
              <w:spacing w:before="20" w:after="20"/>
              <w:jc w:val="left"/>
            </w:pPr>
            <w:r>
              <w:rPr>
                <w:color w:val="000000"/>
                <w:sz w:val="17"/>
              </w:rPr>
              <w:t>Self-critique and refine</w:t>
            </w:r>
          </w:p>
        </w:tc>
        <w:tc>
          <w:tcPr>
            <w:tcW w:w="1984" w:type="dxa"/>
            <w:vAlign w:val="center"/>
          </w:tcPr>
          <w:p>
            <w:pPr>
              <w:spacing w:before="20" w:after="20"/>
              <w:jc w:val="left"/>
            </w:pPr>
            <w:r>
              <w:rPr>
                <w:color w:val="000000"/>
                <w:sz w:val="17"/>
              </w:rPr>
              <w:t>~20% average gain</w:t>
            </w:r>
          </w:p>
        </w:tc>
        <w:tc>
          <w:tcPr>
            <w:tcW w:w="2268" w:type="dxa"/>
            <w:vAlign w:val="center"/>
          </w:tcPr>
          <w:p>
            <w:pPr>
              <w:spacing w:before="20" w:after="20"/>
              <w:jc w:val="left"/>
            </w:pPr>
            <w:r>
              <w:rPr>
                <w:color w:val="000000"/>
                <w:sz w:val="17"/>
              </w:rPr>
              <w:t>Not grounded in source data</w:t>
            </w:r>
          </w:p>
        </w:tc>
      </w:tr>
      <w:tr>
        <w:trPr>
          <w:cantSplit/>
        </w:trPr>
        <w:tc>
          <w:tcPr>
            <w:tcW w:w="567" w:type="dxa"/>
            <w:vAlign w:val="center"/>
          </w:tcPr>
          <w:p>
            <w:pPr>
              <w:spacing w:before="20" w:after="20"/>
              <w:jc w:val="left"/>
            </w:pPr>
            <w:r>
              <w:rPr>
                <w:color w:val="000000"/>
                <w:sz w:val="17"/>
              </w:rPr>
              <w:t>[9]</w:t>
            </w:r>
          </w:p>
        </w:tc>
        <w:tc>
          <w:tcPr>
            <w:tcW w:w="1701" w:type="dxa"/>
            <w:vAlign w:val="center"/>
          </w:tcPr>
          <w:p>
            <w:pPr>
              <w:spacing w:before="20" w:after="20"/>
              <w:jc w:val="left"/>
            </w:pPr>
            <w:r>
              <w:rPr>
                <w:color w:val="000000"/>
                <w:sz w:val="17"/>
              </w:rPr>
              <w:t>Ateia &amp; Kruschwitz, 2025</w:t>
            </w:r>
          </w:p>
        </w:tc>
        <w:tc>
          <w:tcPr>
            <w:tcW w:w="2041" w:type="dxa"/>
            <w:vAlign w:val="center"/>
          </w:tcPr>
          <w:p>
            <w:pPr>
              <w:spacing w:before="20" w:after="20"/>
              <w:jc w:val="left"/>
            </w:pPr>
            <w:r>
              <w:rPr>
                <w:color w:val="000000"/>
                <w:sz w:val="17"/>
              </w:rPr>
              <w:t>Self-feedback for biomedical RAG</w:t>
            </w:r>
          </w:p>
        </w:tc>
        <w:tc>
          <w:tcPr>
            <w:tcW w:w="1984" w:type="dxa"/>
            <w:vAlign w:val="center"/>
          </w:tcPr>
          <w:p>
            <w:pPr>
              <w:spacing w:before="20" w:after="20"/>
              <w:jc w:val="left"/>
            </w:pPr>
            <w:r>
              <w:rPr>
                <w:color w:val="000000"/>
                <w:sz w:val="17"/>
              </w:rPr>
              <w:t>Gains vary by model</w:t>
            </w:r>
          </w:p>
        </w:tc>
        <w:tc>
          <w:tcPr>
            <w:tcW w:w="2268" w:type="dxa"/>
            <w:vAlign w:val="center"/>
          </w:tcPr>
          <w:p>
            <w:pPr>
              <w:spacing w:before="20" w:after="20"/>
              <w:jc w:val="left"/>
            </w:pPr>
            <w:r>
              <w:rPr>
                <w:color w:val="000000"/>
                <w:sz w:val="17"/>
              </w:rPr>
              <w:t>Not patient-specific</w:t>
            </w:r>
          </w:p>
        </w:tc>
      </w:tr>
      <w:tr>
        <w:trPr>
          <w:cantSplit/>
        </w:trPr>
        <w:tc>
          <w:tcPr>
            <w:tcW w:w="567" w:type="dxa"/>
            <w:vAlign w:val="center"/>
          </w:tcPr>
          <w:p>
            <w:pPr>
              <w:spacing w:before="20" w:after="20"/>
              <w:jc w:val="left"/>
            </w:pPr>
            <w:r>
              <w:rPr>
                <w:color w:val="000000"/>
                <w:sz w:val="17"/>
              </w:rPr>
              <w:t>[10]</w:t>
            </w:r>
          </w:p>
        </w:tc>
        <w:tc>
          <w:tcPr>
            <w:tcW w:w="1701" w:type="dxa"/>
            <w:vAlign w:val="center"/>
          </w:tcPr>
          <w:p>
            <w:pPr>
              <w:spacing w:before="20" w:after="20"/>
              <w:jc w:val="left"/>
            </w:pPr>
            <w:r>
              <w:rPr>
                <w:color w:val="000000"/>
                <w:sz w:val="17"/>
              </w:rPr>
              <w:t>Fu et al., 2026</w:t>
            </w:r>
          </w:p>
        </w:tc>
        <w:tc>
          <w:tcPr>
            <w:tcW w:w="2041" w:type="dxa"/>
            <w:vAlign w:val="center"/>
          </w:tcPr>
          <w:p>
            <w:pPr>
              <w:spacing w:before="20" w:after="20"/>
              <w:jc w:val="left"/>
            </w:pPr>
            <w:r>
              <w:rPr>
                <w:color w:val="000000"/>
                <w:sz w:val="17"/>
              </w:rPr>
              <w:t>Self-evolving correction memory</w:t>
            </w:r>
          </w:p>
        </w:tc>
        <w:tc>
          <w:tcPr>
            <w:tcW w:w="1984" w:type="dxa"/>
            <w:vAlign w:val="center"/>
          </w:tcPr>
          <w:p>
            <w:pPr>
              <w:spacing w:before="20" w:after="20"/>
              <w:jc w:val="left"/>
            </w:pPr>
            <w:r>
              <w:rPr>
                <w:color w:val="000000"/>
                <w:sz w:val="17"/>
              </w:rPr>
              <w:t>Grounded health notes</w:t>
            </w:r>
          </w:p>
        </w:tc>
        <w:tc>
          <w:tcPr>
            <w:tcW w:w="2268" w:type="dxa"/>
            <w:vAlign w:val="center"/>
          </w:tcPr>
          <w:p>
            <w:pPr>
              <w:spacing w:before="20" w:after="20"/>
              <w:jc w:val="left"/>
            </w:pPr>
            <w:r>
              <w:rPr>
                <w:color w:val="000000"/>
                <w:sz w:val="17"/>
              </w:rPr>
              <w:t>Public posts, not biometrics</w:t>
            </w:r>
          </w:p>
        </w:tc>
      </w:tr>
      <w:tr>
        <w:trPr>
          <w:cantSplit/>
        </w:trPr>
        <w:tc>
          <w:tcPr>
            <w:tcW w:w="567" w:type="dxa"/>
            <w:vAlign w:val="center"/>
          </w:tcPr>
          <w:p>
            <w:pPr>
              <w:spacing w:before="20" w:after="20"/>
              <w:jc w:val="left"/>
            </w:pPr>
            <w:r>
              <w:rPr>
                <w:color w:val="000000"/>
                <w:sz w:val="17"/>
              </w:rPr>
              <w:t>[11]</w:t>
            </w:r>
          </w:p>
        </w:tc>
        <w:tc>
          <w:tcPr>
            <w:tcW w:w="1701" w:type="dxa"/>
            <w:vAlign w:val="center"/>
          </w:tcPr>
          <w:p>
            <w:pPr>
              <w:spacing w:before="20" w:after="20"/>
              <w:jc w:val="left"/>
            </w:pPr>
            <w:r>
              <w:rPr>
                <w:color w:val="000000"/>
                <w:sz w:val="17"/>
              </w:rPr>
              <w:t>Deandrea et al., 2010</w:t>
            </w:r>
          </w:p>
        </w:tc>
        <w:tc>
          <w:tcPr>
            <w:tcW w:w="2041" w:type="dxa"/>
            <w:vAlign w:val="center"/>
          </w:tcPr>
          <w:p>
            <w:pPr>
              <w:spacing w:before="20" w:after="20"/>
              <w:jc w:val="left"/>
            </w:pPr>
            <w:r>
              <w:rPr>
                <w:color w:val="000000"/>
                <w:sz w:val="17"/>
              </w:rPr>
              <w:t>Meta-analysis, 74 studies</w:t>
            </w:r>
          </w:p>
        </w:tc>
        <w:tc>
          <w:tcPr>
            <w:tcW w:w="1984" w:type="dxa"/>
            <w:vAlign w:val="center"/>
          </w:tcPr>
          <w:p>
            <w:pPr>
              <w:spacing w:before="20" w:after="20"/>
              <w:jc w:val="left"/>
            </w:pPr>
            <w:r>
              <w:rPr>
                <w:color w:val="000000"/>
                <w:sz w:val="17"/>
              </w:rPr>
              <w:t>Falls OR 2.8; gait OR 2.1</w:t>
            </w:r>
          </w:p>
        </w:tc>
        <w:tc>
          <w:tcPr>
            <w:tcW w:w="2268" w:type="dxa"/>
            <w:vAlign w:val="center"/>
          </w:tcPr>
          <w:p>
            <w:pPr>
              <w:spacing w:before="20" w:after="20"/>
              <w:jc w:val="left"/>
            </w:pPr>
            <w:r>
              <w:rPr>
                <w:color w:val="000000"/>
                <w:sz w:val="17"/>
              </w:rPr>
              <w:t>Population risk, no daily trend</w:t>
            </w:r>
          </w:p>
        </w:tc>
      </w:tr>
      <w:tr>
        <w:trPr>
          <w:cantSplit/>
        </w:trPr>
        <w:tc>
          <w:tcPr>
            <w:tcW w:w="567" w:type="dxa"/>
            <w:vAlign w:val="center"/>
          </w:tcPr>
          <w:p>
            <w:pPr>
              <w:spacing w:before="20" w:after="20"/>
              <w:jc w:val="left"/>
            </w:pPr>
            <w:r>
              <w:rPr>
                <w:color w:val="000000"/>
                <w:sz w:val="17"/>
              </w:rPr>
              <w:t>[12]</w:t>
            </w:r>
          </w:p>
        </w:tc>
        <w:tc>
          <w:tcPr>
            <w:tcW w:w="1701" w:type="dxa"/>
            <w:vAlign w:val="center"/>
          </w:tcPr>
          <w:p>
            <w:pPr>
              <w:spacing w:before="20" w:after="20"/>
              <w:jc w:val="left"/>
            </w:pPr>
            <w:r>
              <w:rPr>
                <w:color w:val="000000"/>
                <w:sz w:val="17"/>
              </w:rPr>
              <w:t>Hausdorff et al., 2001</w:t>
            </w:r>
          </w:p>
        </w:tc>
        <w:tc>
          <w:tcPr>
            <w:tcW w:w="2041" w:type="dxa"/>
            <w:vAlign w:val="center"/>
          </w:tcPr>
          <w:p>
            <w:pPr>
              <w:spacing w:before="20" w:after="20"/>
              <w:jc w:val="left"/>
            </w:pPr>
            <w:r>
              <w:rPr>
                <w:color w:val="000000"/>
                <w:sz w:val="17"/>
              </w:rPr>
              <w:t>Prospective gait study</w:t>
            </w:r>
          </w:p>
        </w:tc>
        <w:tc>
          <w:tcPr>
            <w:tcW w:w="1984" w:type="dxa"/>
            <w:vAlign w:val="center"/>
          </w:tcPr>
          <w:p>
            <w:pPr>
              <w:spacing w:before="20" w:after="20"/>
              <w:jc w:val="left"/>
            </w:pPr>
            <w:r>
              <w:rPr>
                <w:color w:val="000000"/>
                <w:sz w:val="17"/>
              </w:rPr>
              <w:t>Stride variability predicts falls</w:t>
            </w:r>
          </w:p>
        </w:tc>
        <w:tc>
          <w:tcPr>
            <w:tcW w:w="2268" w:type="dxa"/>
            <w:vAlign w:val="center"/>
          </w:tcPr>
          <w:p>
            <w:pPr>
              <w:spacing w:before="20" w:after="20"/>
              <w:jc w:val="left"/>
            </w:pPr>
            <w:r>
              <w:rPr>
                <w:color w:val="000000"/>
                <w:sz w:val="17"/>
              </w:rPr>
              <w:t>Laboratory measurement</w:t>
            </w:r>
          </w:p>
        </w:tc>
      </w:tr>
      <w:tr>
        <w:trPr>
          <w:cantSplit/>
        </w:trPr>
        <w:tc>
          <w:tcPr>
            <w:tcW w:w="567" w:type="dxa"/>
            <w:vAlign w:val="center"/>
          </w:tcPr>
          <w:p>
            <w:pPr>
              <w:spacing w:before="20" w:after="20"/>
              <w:jc w:val="left"/>
            </w:pPr>
            <w:r>
              <w:rPr>
                <w:color w:val="000000"/>
                <w:sz w:val="17"/>
              </w:rPr>
              <w:t>[13]</w:t>
            </w:r>
          </w:p>
        </w:tc>
        <w:tc>
          <w:tcPr>
            <w:tcW w:w="1701" w:type="dxa"/>
            <w:vAlign w:val="center"/>
          </w:tcPr>
          <w:p>
            <w:pPr>
              <w:spacing w:before="20" w:after="20"/>
              <w:jc w:val="left"/>
            </w:pPr>
            <w:r>
              <w:rPr>
                <w:color w:val="000000"/>
                <w:sz w:val="17"/>
              </w:rPr>
              <w:t>Mol et al., 2019</w:t>
            </w:r>
          </w:p>
        </w:tc>
        <w:tc>
          <w:tcPr>
            <w:tcW w:w="2041" w:type="dxa"/>
            <w:vAlign w:val="center"/>
          </w:tcPr>
          <w:p>
            <w:pPr>
              <w:spacing w:before="20" w:after="20"/>
              <w:jc w:val="left"/>
            </w:pPr>
            <w:r>
              <w:rPr>
                <w:color w:val="000000"/>
                <w:sz w:val="17"/>
              </w:rPr>
              <w:t>Meta-analysis, 50 studies</w:t>
            </w:r>
          </w:p>
        </w:tc>
        <w:tc>
          <w:tcPr>
            <w:tcW w:w="1984" w:type="dxa"/>
            <w:vAlign w:val="center"/>
          </w:tcPr>
          <w:p>
            <w:pPr>
              <w:spacing w:before="20" w:after="20"/>
              <w:jc w:val="left"/>
            </w:pPr>
            <w:r>
              <w:rPr>
                <w:color w:val="000000"/>
                <w:sz w:val="17"/>
              </w:rPr>
              <w:t>Orthostatic hypotension OR 1.73</w:t>
            </w:r>
          </w:p>
        </w:tc>
        <w:tc>
          <w:tcPr>
            <w:tcW w:w="2268" w:type="dxa"/>
            <w:vAlign w:val="center"/>
          </w:tcPr>
          <w:p>
            <w:pPr>
              <w:spacing w:before="20" w:after="20"/>
              <w:jc w:val="left"/>
            </w:pPr>
            <w:r>
              <w:rPr>
                <w:color w:val="000000"/>
                <w:sz w:val="17"/>
              </w:rPr>
              <w:t>One-off BP test</w:t>
            </w:r>
          </w:p>
        </w:tc>
      </w:tr>
      <w:tr>
        <w:trPr>
          <w:cantSplit/>
        </w:trPr>
        <w:tc>
          <w:tcPr>
            <w:tcW w:w="567" w:type="dxa"/>
            <w:vAlign w:val="center"/>
          </w:tcPr>
          <w:p>
            <w:pPr>
              <w:spacing w:before="20" w:after="20"/>
              <w:jc w:val="left"/>
            </w:pPr>
            <w:r>
              <w:rPr>
                <w:color w:val="000000"/>
                <w:sz w:val="17"/>
              </w:rPr>
              <w:t>[14]</w:t>
            </w:r>
          </w:p>
        </w:tc>
        <w:tc>
          <w:tcPr>
            <w:tcW w:w="1701" w:type="dxa"/>
            <w:vAlign w:val="center"/>
          </w:tcPr>
          <w:p>
            <w:pPr>
              <w:spacing w:before="20" w:after="20"/>
              <w:jc w:val="left"/>
            </w:pPr>
            <w:r>
              <w:rPr>
                <w:color w:val="000000"/>
                <w:sz w:val="17"/>
              </w:rPr>
              <w:t>Baker et al., 2024</w:t>
            </w:r>
          </w:p>
        </w:tc>
        <w:tc>
          <w:tcPr>
            <w:tcW w:w="2041" w:type="dxa"/>
            <w:vAlign w:val="center"/>
          </w:tcPr>
          <w:p>
            <w:pPr>
              <w:spacing w:before="20" w:after="20"/>
              <w:jc w:val="left"/>
            </w:pPr>
            <w:r>
              <w:rPr>
                <w:color w:val="000000"/>
                <w:sz w:val="17"/>
              </w:rPr>
              <w:t>SWAN cohort</w:t>
            </w:r>
          </w:p>
        </w:tc>
        <w:tc>
          <w:tcPr>
            <w:tcW w:w="1984" w:type="dxa"/>
            <w:vAlign w:val="center"/>
          </w:tcPr>
          <w:p>
            <w:pPr>
              <w:spacing w:before="20" w:after="20"/>
              <w:jc w:val="left"/>
            </w:pPr>
            <w:r>
              <w:rPr>
                <w:color w:val="000000"/>
                <w:sz w:val="17"/>
              </w:rPr>
              <w:t>Poor sleep RR 1.27</w:t>
            </w:r>
          </w:p>
        </w:tc>
        <w:tc>
          <w:tcPr>
            <w:tcW w:w="2268" w:type="dxa"/>
            <w:vAlign w:val="center"/>
          </w:tcPr>
          <w:p>
            <w:pPr>
              <w:spacing w:before="20" w:after="20"/>
              <w:jc w:val="left"/>
            </w:pPr>
            <w:r>
              <w:rPr>
                <w:color w:val="000000"/>
                <w:sz w:val="17"/>
              </w:rPr>
              <w:t>Questionnaire sleep</w:t>
            </w:r>
          </w:p>
        </w:tc>
      </w:tr>
      <w:tr>
        <w:trPr>
          <w:cantSplit/>
        </w:trPr>
        <w:tc>
          <w:tcPr>
            <w:tcW w:w="567" w:type="dxa"/>
            <w:vAlign w:val="center"/>
          </w:tcPr>
          <w:p>
            <w:pPr>
              <w:spacing w:before="20" w:after="20"/>
              <w:jc w:val="left"/>
            </w:pPr>
            <w:r>
              <w:rPr>
                <w:color w:val="000000"/>
                <w:sz w:val="17"/>
              </w:rPr>
              <w:t>[15]</w:t>
            </w:r>
          </w:p>
        </w:tc>
        <w:tc>
          <w:tcPr>
            <w:tcW w:w="1701" w:type="dxa"/>
            <w:vAlign w:val="center"/>
          </w:tcPr>
          <w:p>
            <w:pPr>
              <w:spacing w:before="20" w:after="20"/>
              <w:jc w:val="left"/>
            </w:pPr>
            <w:r>
              <w:rPr>
                <w:color w:val="000000"/>
                <w:sz w:val="17"/>
              </w:rPr>
              <w:t>Mishra et al., 2020</w:t>
            </w:r>
          </w:p>
        </w:tc>
        <w:tc>
          <w:tcPr>
            <w:tcW w:w="2041" w:type="dxa"/>
            <w:vAlign w:val="center"/>
          </w:tcPr>
          <w:p>
            <w:pPr>
              <w:spacing w:before="20" w:after="20"/>
              <w:jc w:val="left"/>
            </w:pPr>
            <w:r>
              <w:rPr>
                <w:color w:val="000000"/>
                <w:sz w:val="17"/>
              </w:rPr>
              <w:t>Personal-baseline deviation</w:t>
            </w:r>
          </w:p>
        </w:tc>
        <w:tc>
          <w:tcPr>
            <w:tcW w:w="1984" w:type="dxa"/>
            <w:vAlign w:val="center"/>
          </w:tcPr>
          <w:p>
            <w:pPr>
              <w:spacing w:before="20" w:after="20"/>
              <w:jc w:val="left"/>
            </w:pPr>
            <w:r>
              <w:rPr>
                <w:color w:val="000000"/>
                <w:sz w:val="17"/>
              </w:rPr>
              <w:t>Early illness detection</w:t>
            </w:r>
          </w:p>
        </w:tc>
        <w:tc>
          <w:tcPr>
            <w:tcW w:w="2268" w:type="dxa"/>
            <w:vAlign w:val="center"/>
          </w:tcPr>
          <w:p>
            <w:pPr>
              <w:spacing w:before="20" w:after="20"/>
              <w:jc w:val="left"/>
            </w:pPr>
            <w:r>
              <w:rPr>
                <w:color w:val="000000"/>
                <w:sz w:val="17"/>
              </w:rPr>
              <w:t>Not falls; not explained</w:t>
            </w:r>
          </w:p>
        </w:tc>
      </w:tr>
      <w:tr>
        <w:trPr>
          <w:cantSplit/>
        </w:trPr>
        <w:tc>
          <w:tcPr>
            <w:tcW w:w="567" w:type="dxa"/>
            <w:vAlign w:val="center"/>
          </w:tcPr>
          <w:p>
            <w:pPr>
              <w:spacing w:before="20" w:after="20"/>
              <w:jc w:val="left"/>
            </w:pPr>
            <w:r>
              <w:rPr>
                <w:color w:val="000000"/>
                <w:sz w:val="17"/>
              </w:rPr>
              <w:t>[16]</w:t>
            </w:r>
          </w:p>
        </w:tc>
        <w:tc>
          <w:tcPr>
            <w:tcW w:w="1701" w:type="dxa"/>
            <w:vAlign w:val="center"/>
          </w:tcPr>
          <w:p>
            <w:pPr>
              <w:spacing w:before="20" w:after="20"/>
              <w:jc w:val="left"/>
            </w:pPr>
            <w:r>
              <w:rPr>
                <w:color w:val="000000"/>
                <w:sz w:val="17"/>
              </w:rPr>
              <w:t>Alzueta et al., 2022</w:t>
            </w:r>
          </w:p>
        </w:tc>
        <w:tc>
          <w:tcPr>
            <w:tcW w:w="2041" w:type="dxa"/>
            <w:vAlign w:val="center"/>
          </w:tcPr>
          <w:p>
            <w:pPr>
              <w:spacing w:before="20" w:after="20"/>
              <w:jc w:val="left"/>
            </w:pPr>
            <w:r>
              <w:rPr>
                <w:color w:val="000000"/>
                <w:sz w:val="17"/>
              </w:rPr>
              <w:t>Oura ring across the cycle</w:t>
            </w:r>
          </w:p>
        </w:tc>
        <w:tc>
          <w:tcPr>
            <w:tcW w:w="1984" w:type="dxa"/>
            <w:vAlign w:val="center"/>
          </w:tcPr>
          <w:p>
            <w:pPr>
              <w:spacing w:before="20" w:after="20"/>
              <w:jc w:val="left"/>
            </w:pPr>
            <w:r>
              <w:rPr>
                <w:color w:val="000000"/>
                <w:sz w:val="17"/>
              </w:rPr>
              <w:t>Luteal rise in temp and HR</w:t>
            </w:r>
          </w:p>
        </w:tc>
        <w:tc>
          <w:tcPr>
            <w:tcW w:w="2268" w:type="dxa"/>
            <w:vAlign w:val="center"/>
          </w:tcPr>
          <w:p>
            <w:pPr>
              <w:spacing w:before="20" w:after="20"/>
              <w:jc w:val="left"/>
            </w:pPr>
            <w:r>
              <w:rPr>
                <w:color w:val="000000"/>
                <w:sz w:val="17"/>
              </w:rPr>
              <w:t>Not used in risk scores</w:t>
            </w:r>
          </w:p>
        </w:tc>
      </w:tr>
      <w:tr>
        <w:trPr>
          <w:cantSplit/>
        </w:trPr>
        <w:tc>
          <w:tcPr>
            <w:tcW w:w="567" w:type="dxa"/>
            <w:vAlign w:val="center"/>
          </w:tcPr>
          <w:p>
            <w:pPr>
              <w:spacing w:before="20" w:after="20"/>
              <w:jc w:val="left"/>
            </w:pPr>
            <w:r>
              <w:rPr>
                <w:color w:val="000000"/>
                <w:sz w:val="17"/>
              </w:rPr>
              <w:t>[17]</w:t>
            </w:r>
          </w:p>
        </w:tc>
        <w:tc>
          <w:tcPr>
            <w:tcW w:w="1701" w:type="dxa"/>
            <w:vAlign w:val="center"/>
          </w:tcPr>
          <w:p>
            <w:pPr>
              <w:spacing w:before="20" w:after="20"/>
              <w:jc w:val="left"/>
            </w:pPr>
            <w:r>
              <w:rPr>
                <w:color w:val="000000"/>
                <w:sz w:val="17"/>
              </w:rPr>
              <w:t>de Jager et al., 2026</w:t>
            </w:r>
          </w:p>
        </w:tc>
        <w:tc>
          <w:tcPr>
            <w:tcW w:w="2041" w:type="dxa"/>
            <w:vAlign w:val="center"/>
          </w:tcPr>
          <w:p>
            <w:pPr>
              <w:spacing w:before="20" w:after="20"/>
              <w:jc w:val="left"/>
            </w:pPr>
            <w:r>
              <w:rPr>
                <w:color w:val="000000"/>
                <w:sz w:val="17"/>
              </w:rPr>
              <w:t>Living systematic review</w:t>
            </w:r>
          </w:p>
        </w:tc>
        <w:tc>
          <w:tcPr>
            <w:tcW w:w="1984" w:type="dxa"/>
            <w:vAlign w:val="center"/>
          </w:tcPr>
          <w:p>
            <w:pPr>
              <w:spacing w:before="20" w:after="20"/>
              <w:jc w:val="left"/>
            </w:pPr>
            <w:r>
              <w:rPr>
                <w:color w:val="000000"/>
                <w:sz w:val="17"/>
              </w:rPr>
              <w:t>HRV varies with cycle</w:t>
            </w:r>
          </w:p>
        </w:tc>
        <w:tc>
          <w:tcPr>
            <w:tcW w:w="2268" w:type="dxa"/>
            <w:vAlign w:val="center"/>
          </w:tcPr>
          <w:p>
            <w:pPr>
              <w:spacing w:before="20" w:after="20"/>
              <w:jc w:val="left"/>
            </w:pPr>
            <w:r>
              <w:rPr>
                <w:color w:val="000000"/>
                <w:sz w:val="17"/>
              </w:rPr>
              <w:t>Wearable scores ignore phase</w:t>
            </w:r>
          </w:p>
        </w:tc>
      </w:tr>
      <w:tr>
        <w:trPr>
          <w:cantSplit/>
        </w:trPr>
        <w:tc>
          <w:tcPr>
            <w:tcW w:w="567" w:type="dxa"/>
            <w:vAlign w:val="center"/>
          </w:tcPr>
          <w:p>
            <w:pPr>
              <w:spacing w:before="20" w:after="20"/>
              <w:jc w:val="left"/>
            </w:pPr>
            <w:r>
              <w:rPr>
                <w:color w:val="000000"/>
                <w:sz w:val="17"/>
              </w:rPr>
              <w:t>[18]</w:t>
            </w:r>
          </w:p>
        </w:tc>
        <w:tc>
          <w:tcPr>
            <w:tcW w:w="1701" w:type="dxa"/>
            <w:vAlign w:val="center"/>
          </w:tcPr>
          <w:p>
            <w:pPr>
              <w:spacing w:before="20" w:after="20"/>
              <w:jc w:val="left"/>
            </w:pPr>
            <w:r>
              <w:rPr>
                <w:color w:val="000000"/>
                <w:sz w:val="17"/>
              </w:rPr>
              <w:t>Askhatova et al., 2026</w:t>
            </w:r>
          </w:p>
        </w:tc>
        <w:tc>
          <w:tcPr>
            <w:tcW w:w="2041" w:type="dxa"/>
            <w:vAlign w:val="center"/>
          </w:tcPr>
          <w:p>
            <w:pPr>
              <w:spacing w:before="20" w:after="20"/>
              <w:jc w:val="left"/>
            </w:pPr>
            <w:r>
              <w:rPr>
                <w:color w:val="000000"/>
                <w:sz w:val="17"/>
              </w:rPr>
              <w:t>Temporal CNN on LTMM</w:t>
            </w:r>
          </w:p>
        </w:tc>
        <w:tc>
          <w:tcPr>
            <w:tcW w:w="1984" w:type="dxa"/>
            <w:vAlign w:val="center"/>
          </w:tcPr>
          <w:p>
            <w:pPr>
              <w:spacing w:before="20" w:after="20"/>
              <w:jc w:val="left"/>
            </w:pPr>
            <w:r>
              <w:rPr>
                <w:color w:val="000000"/>
                <w:sz w:val="17"/>
              </w:rPr>
              <w:t>AUC 0.749</w:t>
            </w:r>
          </w:p>
        </w:tc>
        <w:tc>
          <w:tcPr>
            <w:tcW w:w="2268" w:type="dxa"/>
            <w:vAlign w:val="center"/>
          </w:tcPr>
          <w:p>
            <w:pPr>
              <w:spacing w:before="20" w:after="20"/>
              <w:jc w:val="left"/>
            </w:pPr>
            <w:r>
              <w:rPr>
                <w:color w:val="000000"/>
                <w:sz w:val="17"/>
              </w:rPr>
              <w:t>Black box</w:t>
            </w:r>
          </w:p>
        </w:tc>
      </w:tr>
      <w:tr>
        <w:trPr>
          <w:cantSplit/>
        </w:trPr>
        <w:tc>
          <w:tcPr>
            <w:tcW w:w="567" w:type="dxa"/>
            <w:vAlign w:val="center"/>
          </w:tcPr>
          <w:p>
            <w:pPr>
              <w:spacing w:before="20" w:after="20"/>
              <w:jc w:val="left"/>
            </w:pPr>
            <w:r>
              <w:rPr>
                <w:color w:val="000000"/>
                <w:sz w:val="17"/>
              </w:rPr>
              <w:t>[19]</w:t>
            </w:r>
          </w:p>
        </w:tc>
        <w:tc>
          <w:tcPr>
            <w:tcW w:w="1701" w:type="dxa"/>
            <w:vAlign w:val="center"/>
          </w:tcPr>
          <w:p>
            <w:pPr>
              <w:spacing w:before="20" w:after="20"/>
              <w:jc w:val="left"/>
            </w:pPr>
            <w:r>
              <w:rPr>
                <w:color w:val="000000"/>
                <w:sz w:val="17"/>
              </w:rPr>
              <w:t>Weiss et al., 2013</w:t>
            </w:r>
          </w:p>
        </w:tc>
        <w:tc>
          <w:tcPr>
            <w:tcW w:w="2041" w:type="dxa"/>
            <w:vAlign w:val="center"/>
          </w:tcPr>
          <w:p>
            <w:pPr>
              <w:spacing w:before="20" w:after="20"/>
              <w:jc w:val="left"/>
            </w:pPr>
            <w:r>
              <w:rPr>
                <w:color w:val="000000"/>
                <w:sz w:val="17"/>
              </w:rPr>
              <w:t>3-day accelerometry</w:t>
            </w:r>
          </w:p>
        </w:tc>
        <w:tc>
          <w:tcPr>
            <w:tcW w:w="1984" w:type="dxa"/>
            <w:vAlign w:val="center"/>
          </w:tcPr>
          <w:p>
            <w:pPr>
              <w:spacing w:before="20" w:after="20"/>
              <w:jc w:val="left"/>
            </w:pPr>
            <w:r>
              <w:rPr>
                <w:color w:val="000000"/>
                <w:sz w:val="17"/>
              </w:rPr>
              <w:t>Daily-life gait differs</w:t>
            </w:r>
          </w:p>
        </w:tc>
        <w:tc>
          <w:tcPr>
            <w:tcW w:w="2268" w:type="dxa"/>
            <w:vAlign w:val="center"/>
          </w:tcPr>
          <w:p>
            <w:pPr>
              <w:spacing w:before="20" w:after="20"/>
              <w:jc w:val="left"/>
            </w:pPr>
            <w:r>
              <w:rPr>
                <w:color w:val="000000"/>
                <w:sz w:val="17"/>
              </w:rPr>
              <w:t>No explanation or agent</w:t>
            </w:r>
          </w:p>
        </w:tc>
      </w:tr>
      <w:tr>
        <w:trPr>
          <w:cantSplit/>
        </w:trPr>
        <w:tc>
          <w:tcPr>
            <w:tcW w:w="567" w:type="dxa"/>
            <w:vAlign w:val="center"/>
          </w:tcPr>
          <w:p>
            <w:pPr>
              <w:spacing w:before="20" w:after="20"/>
              <w:jc w:val="left"/>
            </w:pPr>
            <w:r>
              <w:rPr>
                <w:color w:val="000000"/>
                <w:sz w:val="17"/>
              </w:rPr>
              <w:t>[20]</w:t>
            </w:r>
          </w:p>
        </w:tc>
        <w:tc>
          <w:tcPr>
            <w:tcW w:w="1701" w:type="dxa"/>
            <w:vAlign w:val="center"/>
          </w:tcPr>
          <w:p>
            <w:pPr>
              <w:spacing w:before="20" w:after="20"/>
              <w:jc w:val="left"/>
            </w:pPr>
            <w:r>
              <w:rPr>
                <w:color w:val="000000"/>
                <w:sz w:val="17"/>
              </w:rPr>
              <w:t>McCamley et al., 2012</w:t>
            </w:r>
          </w:p>
        </w:tc>
        <w:tc>
          <w:tcPr>
            <w:tcW w:w="2041" w:type="dxa"/>
            <w:vAlign w:val="center"/>
          </w:tcPr>
          <w:p>
            <w:pPr>
              <w:spacing w:before="20" w:after="20"/>
              <w:jc w:val="left"/>
            </w:pPr>
            <w:r>
              <w:rPr>
                <w:color w:val="000000"/>
                <w:sz w:val="17"/>
              </w:rPr>
              <w:t>Gaussian-derivative contacts</w:t>
            </w:r>
          </w:p>
        </w:tc>
        <w:tc>
          <w:tcPr>
            <w:tcW w:w="1984" w:type="dxa"/>
            <w:vAlign w:val="center"/>
          </w:tcPr>
          <w:p>
            <w:pPr>
              <w:spacing w:before="20" w:after="20"/>
              <w:jc w:val="left"/>
            </w:pPr>
            <w:r>
              <w:rPr>
                <w:color w:val="000000"/>
                <w:sz w:val="17"/>
              </w:rPr>
              <w:t>Accurate step timing</w:t>
            </w:r>
          </w:p>
        </w:tc>
        <w:tc>
          <w:tcPr>
            <w:tcW w:w="2268" w:type="dxa"/>
            <w:vAlign w:val="center"/>
          </w:tcPr>
          <w:p>
            <w:pPr>
              <w:spacing w:before="20" w:after="20"/>
              <w:jc w:val="left"/>
            </w:pPr>
            <w:r>
              <w:rPr>
                <w:color w:val="000000"/>
                <w:sz w:val="17"/>
              </w:rPr>
              <w:t>Detection only</w:t>
            </w:r>
          </w:p>
        </w:tc>
      </w:tr>
      <w:tr>
        <w:trPr>
          <w:cantSplit/>
        </w:trPr>
        <w:tc>
          <w:tcPr>
            <w:tcW w:w="567" w:type="dxa"/>
            <w:vAlign w:val="center"/>
          </w:tcPr>
          <w:p>
            <w:pPr>
              <w:spacing w:before="20" w:after="20"/>
              <w:jc w:val="left"/>
            </w:pPr>
            <w:r>
              <w:rPr>
                <w:color w:val="000000"/>
                <w:sz w:val="17"/>
              </w:rPr>
              <w:t>[21]</w:t>
            </w:r>
          </w:p>
        </w:tc>
        <w:tc>
          <w:tcPr>
            <w:tcW w:w="1701" w:type="dxa"/>
            <w:vAlign w:val="center"/>
          </w:tcPr>
          <w:p>
            <w:pPr>
              <w:spacing w:before="20" w:after="20"/>
              <w:jc w:val="left"/>
            </w:pPr>
            <w:r>
              <w:rPr>
                <w:color w:val="000000"/>
                <w:sz w:val="17"/>
              </w:rPr>
              <w:t>Moe-Nilssen &amp; Helbostad, 2004</w:t>
            </w:r>
          </w:p>
        </w:tc>
        <w:tc>
          <w:tcPr>
            <w:tcW w:w="2041" w:type="dxa"/>
            <w:vAlign w:val="center"/>
          </w:tcPr>
          <w:p>
            <w:pPr>
              <w:spacing w:before="20" w:after="20"/>
              <w:jc w:val="left"/>
            </w:pPr>
            <w:r>
              <w:rPr>
                <w:color w:val="000000"/>
                <w:sz w:val="17"/>
              </w:rPr>
              <w:t>Autocorrelation regularity</w:t>
            </w:r>
          </w:p>
        </w:tc>
        <w:tc>
          <w:tcPr>
            <w:tcW w:w="1984" w:type="dxa"/>
            <w:vAlign w:val="center"/>
          </w:tcPr>
          <w:p>
            <w:pPr>
              <w:spacing w:before="20" w:after="20"/>
              <w:jc w:val="left"/>
            </w:pPr>
            <w:r>
              <w:rPr>
                <w:color w:val="000000"/>
                <w:sz w:val="17"/>
              </w:rPr>
              <w:t>Gait cycle from one sensor</w:t>
            </w:r>
          </w:p>
        </w:tc>
        <w:tc>
          <w:tcPr>
            <w:tcW w:w="2268" w:type="dxa"/>
            <w:vAlign w:val="center"/>
          </w:tcPr>
          <w:p>
            <w:pPr>
              <w:spacing w:before="20" w:after="20"/>
              <w:jc w:val="left"/>
            </w:pPr>
            <w:r>
              <w:rPr>
                <w:color w:val="000000"/>
                <w:sz w:val="17"/>
              </w:rPr>
              <w:t>No risk model</w:t>
            </w:r>
          </w:p>
        </w:tc>
      </w:tr>
      <w:tr>
        <w:trPr>
          <w:cantSplit/>
        </w:trPr>
        <w:tc>
          <w:tcPr>
            <w:tcW w:w="567" w:type="dxa"/>
            <w:vAlign w:val="center"/>
          </w:tcPr>
          <w:p>
            <w:pPr>
              <w:spacing w:before="20" w:after="20"/>
              <w:jc w:val="left"/>
            </w:pPr>
            <w:r>
              <w:rPr>
                <w:color w:val="000000"/>
                <w:sz w:val="17"/>
              </w:rPr>
              <w:t>[22]</w:t>
            </w:r>
          </w:p>
        </w:tc>
        <w:tc>
          <w:tcPr>
            <w:tcW w:w="1701" w:type="dxa"/>
            <w:vAlign w:val="center"/>
          </w:tcPr>
          <w:p>
            <w:pPr>
              <w:spacing w:before="20" w:after="20"/>
              <w:jc w:val="left"/>
            </w:pPr>
            <w:r>
              <w:rPr>
                <w:color w:val="000000"/>
                <w:sz w:val="17"/>
              </w:rPr>
              <w:t>Drover et al., 2017</w:t>
            </w:r>
          </w:p>
        </w:tc>
        <w:tc>
          <w:tcPr>
            <w:tcW w:w="2041" w:type="dxa"/>
            <w:vAlign w:val="center"/>
          </w:tcPr>
          <w:p>
            <w:pPr>
              <w:spacing w:before="20" w:after="20"/>
              <w:jc w:val="left"/>
            </w:pPr>
            <w:r>
              <w:rPr>
                <w:color w:val="000000"/>
                <w:sz w:val="17"/>
              </w:rPr>
              <w:t>Turn + straight-walk features</w:t>
            </w:r>
          </w:p>
        </w:tc>
        <w:tc>
          <w:tcPr>
            <w:tcW w:w="1984" w:type="dxa"/>
            <w:vAlign w:val="center"/>
          </w:tcPr>
          <w:p>
            <w:pPr>
              <w:spacing w:before="20" w:after="20"/>
              <w:jc w:val="left"/>
            </w:pPr>
            <w:r>
              <w:rPr>
                <w:color w:val="000000"/>
                <w:sz w:val="17"/>
              </w:rPr>
              <w:t>Turns help classify fallers</w:t>
            </w:r>
          </w:p>
        </w:tc>
        <w:tc>
          <w:tcPr>
            <w:tcW w:w="2268" w:type="dxa"/>
            <w:vAlign w:val="center"/>
          </w:tcPr>
          <w:p>
            <w:pPr>
              <w:spacing w:before="20" w:after="20"/>
              <w:jc w:val="left"/>
            </w:pPr>
            <w:r>
              <w:rPr>
                <w:color w:val="000000"/>
                <w:sz w:val="17"/>
              </w:rPr>
              <w:t>Not replicated on LTMM</w:t>
            </w:r>
          </w:p>
        </w:tc>
      </w:tr>
    </w:tbl>
    <w:p>
      <w:pPr>
        <w:spacing w:before="0" w:after="120"/>
      </w:pPr>
    </w:p>
    <w:p>
      <w:pPr>
        <w:keepNext/>
        <w:spacing w:before="320" w:after="120"/>
      </w:pPr>
      <w:r>
        <w:rPr>
          <w:b/>
          <w:color w:val="000000"/>
          <w:sz w:val="28"/>
        </w:rPr>
        <w:t>2.6 Research Gaps Identified</w:t>
      </w:r>
    </w:p>
    <w:p>
      <w:pPr>
        <w:spacing w:after="160" w:line="360" w:lineRule="auto"/>
        <w:ind w:firstLine="0"/>
        <w:jc w:val="both"/>
      </w:pPr>
      <w:r>
        <w:rPr>
          <w:color w:val="000000"/>
        </w:rPr>
        <w:t>The review points to four gaps, each of which is addressed by one part of this work:</w:t>
      </w:r>
    </w:p>
    <w:p>
      <w:pPr>
        <w:keepNext/>
        <w:spacing w:before="200" w:after="80"/>
        <w:jc w:val="center"/>
      </w:pPr>
      <w:r>
        <w:rPr>
          <w:i/>
          <w:color w:val="000000"/>
          <w:sz w:val="22"/>
        </w:rPr>
        <w:t>Table 2.2: Research gaps and how this project addresses them</w:t>
      </w:r>
    </w:p>
    <w:tbl>
      <w:tblPr>
        <w:tblStyle w:val="TableGrid"/>
        <w:tblW w:w="8505" w:type="dxa"/>
        <w:jc w:val="center"/>
        <w:tblLayout w:type="fixed"/>
        <w:tblLook w:firstColumn="1" w:firstRow="1" w:lastColumn="0" w:lastRow="0" w:noHBand="0" w:noVBand="1" w:val="04A0"/>
      </w:tblPr>
      <w:tblGrid>
        <w:gridCol w:w="4252"/>
        <w:gridCol w:w="4252"/>
      </w:tblGrid>
      <w:tr>
        <w:trPr>
          <w:cantSplit/>
          <w:tblHeader/>
        </w:trPr>
        <w:tc>
          <w:tcPr>
            <w:tcW w:w="4252" w:type="dxa"/>
            <w:shd w:val="clear" w:color="auto" w:fill="E7E6E6"/>
            <w:vAlign w:val="center"/>
          </w:tcPr>
          <w:p>
            <w:pPr>
              <w:spacing w:before="20" w:after="20"/>
              <w:jc w:val="center"/>
            </w:pPr>
            <w:r>
              <w:rPr>
                <w:b/>
                <w:color w:val="000000"/>
                <w:sz w:val="20"/>
              </w:rPr>
              <w:t>Gap in existing work</w:t>
            </w:r>
          </w:p>
        </w:tc>
        <w:tc>
          <w:tcPr>
            <w:tcW w:w="4252" w:type="dxa"/>
            <w:shd w:val="clear" w:color="auto" w:fill="E7E6E6"/>
            <w:vAlign w:val="center"/>
          </w:tcPr>
          <w:p>
            <w:pPr>
              <w:spacing w:before="20" w:after="20"/>
              <w:jc w:val="center"/>
            </w:pPr>
            <w:r>
              <w:rPr>
                <w:b/>
                <w:color w:val="000000"/>
                <w:sz w:val="20"/>
              </w:rPr>
              <w:t>How this project addresses it</w:t>
            </w:r>
          </w:p>
        </w:tc>
      </w:tr>
      <w:tr>
        <w:trPr>
          <w:cantSplit/>
        </w:trPr>
        <w:tc>
          <w:tcPr>
            <w:tcW w:w="4252" w:type="dxa"/>
            <w:vAlign w:val="center"/>
          </w:tcPr>
          <w:p>
            <w:pPr>
              <w:spacing w:before="20" w:after="20"/>
              <w:jc w:val="left"/>
            </w:pPr>
            <w:r>
              <w:rPr>
                <w:color w:val="000000"/>
                <w:sz w:val="20"/>
              </w:rPr>
              <w:t>Fall systems detect falls but do not predict or explain daily risk.</w:t>
            </w:r>
          </w:p>
        </w:tc>
        <w:tc>
          <w:tcPr>
            <w:tcW w:w="4252" w:type="dxa"/>
            <w:vAlign w:val="center"/>
          </w:tcPr>
          <w:p>
            <w:pPr>
              <w:spacing w:before="20" w:after="20"/>
              <w:jc w:val="left"/>
            </w:pPr>
            <w:r>
              <w:rPr>
                <w:color w:val="000000"/>
                <w:sz w:val="20"/>
              </w:rPr>
              <w:t>A daily Fall Risk Score from ring data, with the contribution of every measurement.</w:t>
            </w:r>
          </w:p>
        </w:tc>
      </w:tr>
      <w:tr>
        <w:trPr>
          <w:cantSplit/>
        </w:trPr>
        <w:tc>
          <w:tcPr>
            <w:tcW w:w="4252" w:type="dxa"/>
            <w:vAlign w:val="center"/>
          </w:tcPr>
          <w:p>
            <w:pPr>
              <w:spacing w:before="20" w:after="20"/>
              <w:jc w:val="left"/>
            </w:pPr>
            <w:r>
              <w:rPr>
                <w:color w:val="000000"/>
                <w:sz w:val="20"/>
              </w:rPr>
              <w:t>The most accurate fall-risk models are black boxes trained on labelled data.</w:t>
            </w:r>
          </w:p>
        </w:tc>
        <w:tc>
          <w:tcPr>
            <w:tcW w:w="4252" w:type="dxa"/>
            <w:vAlign w:val="center"/>
          </w:tcPr>
          <w:p>
            <w:pPr>
              <w:spacing w:before="20" w:after="20"/>
              <w:jc w:val="left"/>
            </w:pPr>
            <w:r>
              <w:rPr>
                <w:color w:val="000000"/>
                <w:sz w:val="20"/>
              </w:rPr>
              <w:t>A deterministic engine with evidence-derived weights; the LLM only explains its numbers.</w:t>
            </w:r>
          </w:p>
        </w:tc>
      </w:tr>
      <w:tr>
        <w:trPr>
          <w:cantSplit/>
        </w:trPr>
        <w:tc>
          <w:tcPr>
            <w:tcW w:w="4252" w:type="dxa"/>
            <w:vAlign w:val="center"/>
          </w:tcPr>
          <w:p>
            <w:pPr>
              <w:spacing w:before="20" w:after="20"/>
              <w:jc w:val="left"/>
            </w:pPr>
            <w:r>
              <w:rPr>
                <w:color w:val="000000"/>
                <w:sz w:val="20"/>
              </w:rPr>
              <w:t>Health agents decide whether a message is an emergency from the text alone.</w:t>
            </w:r>
          </w:p>
        </w:tc>
        <w:tc>
          <w:tcPr>
            <w:tcW w:w="4252" w:type="dxa"/>
            <w:vAlign w:val="center"/>
          </w:tcPr>
          <w:p>
            <w:pPr>
              <w:spacing w:before="20" w:after="20"/>
              <w:jc w:val="left"/>
            </w:pPr>
            <w:r>
              <w:rPr>
                <w:color w:val="000000"/>
                <w:sz w:val="20"/>
              </w:rPr>
              <w:t>Tri-modal fusion of a keyword matcher, an LLM classifier and the ring’s fall event.</w:t>
            </w:r>
          </w:p>
        </w:tc>
      </w:tr>
      <w:tr>
        <w:trPr>
          <w:cantSplit/>
        </w:trPr>
        <w:tc>
          <w:tcPr>
            <w:tcW w:w="4252" w:type="dxa"/>
            <w:vAlign w:val="center"/>
          </w:tcPr>
          <w:p>
            <w:pPr>
              <w:spacing w:before="20" w:after="20"/>
              <w:jc w:val="left"/>
            </w:pPr>
            <w:r>
              <w:rPr>
                <w:color w:val="000000"/>
                <w:sz w:val="20"/>
              </w:rPr>
              <w:t>Wearable risk scores use one baseline for every day of the menstrual cycle.</w:t>
            </w:r>
          </w:p>
        </w:tc>
        <w:tc>
          <w:tcPr>
            <w:tcW w:w="4252" w:type="dxa"/>
            <w:vAlign w:val="center"/>
          </w:tcPr>
          <w:p>
            <w:pPr>
              <w:spacing w:before="20" w:after="20"/>
              <w:jc w:val="left"/>
            </w:pPr>
            <w:r>
              <w:rPr>
                <w:color w:val="000000"/>
                <w:sz w:val="20"/>
              </w:rPr>
              <w:t>Phase-matched baselines for HRV, resting heart rate and skin temperature.</w:t>
            </w:r>
          </w:p>
        </w:tc>
      </w:tr>
    </w:tbl>
    <w:p>
      <w:pPr>
        <w:spacing w:before="0" w:after="120"/>
      </w:pPr>
    </w:p>
    <w:p>
      <w:pPr>
        <w:keepNext/>
        <w:pageBreakBefore/>
        <w:spacing w:after="80"/>
        <w:jc w:val="center"/>
      </w:pPr>
      <w:r>
        <w:rPr>
          <w:b/>
          <w:color w:val="000000"/>
          <w:sz w:val="32"/>
        </w:rPr>
        <w:t>CHAPTER 3</w:t>
      </w:r>
    </w:p>
    <w:p>
      <w:pPr>
        <w:keepNext/>
        <w:spacing w:before="40" w:after="280"/>
        <w:jc w:val="center"/>
      </w:pPr>
      <w:r>
        <w:rPr>
          <w:b/>
          <w:color w:val="000000"/>
          <w:sz w:val="32"/>
        </w:rPr>
        <w:t>Methodology and System Design</w:t>
      </w:r>
    </w:p>
    <w:p>
      <w:pPr>
        <w:keepNext/>
        <w:spacing w:before="320" w:after="120"/>
      </w:pPr>
      <w:r>
        <w:rPr>
          <w:b/>
          <w:color w:val="000000"/>
          <w:sz w:val="28"/>
        </w:rPr>
        <w:t>3.1 Overview of the Proposed System</w:t>
      </w:r>
    </w:p>
    <w:p>
      <w:pPr>
        <w:spacing w:after="160" w:line="360" w:lineRule="auto"/>
        <w:ind w:firstLine="0"/>
        <w:jc w:val="both"/>
      </w:pPr>
      <w:r>
        <w:rPr>
          <w:color w:val="000000"/>
        </w:rPr>
        <w:t xml:space="preserve">The system has four parts (Figure 3.1). A commercial </w:t>
      </w:r>
      <w:r>
        <w:rPr>
          <w:b/>
          <w:color w:val="000000"/>
        </w:rPr>
        <w:t>smart ring</w:t>
      </w:r>
      <w:r>
        <w:rPr>
          <w:color w:val="000000"/>
        </w:rPr>
        <w:t xml:space="preserve"> measures vital signs with its optical (PPG) and temperature sensors. An </w:t>
      </w:r>
      <w:r>
        <w:rPr>
          <w:b/>
          <w:color w:val="000000"/>
        </w:rPr>
        <w:t>Android application</w:t>
      </w:r>
      <w:r>
        <w:rPr>
          <w:color w:val="000000"/>
        </w:rPr>
        <w:t xml:space="preserve"> written in Flutter, with native Kotlin modules, connects to the ring over Bluetooth Low Energy (BLE), takes measurements in a continuous loop, stores them locally and synchronises them to </w:t>
      </w:r>
      <w:r>
        <w:rPr>
          <w:b/>
          <w:color w:val="000000"/>
        </w:rPr>
        <w:t>Supabase</w:t>
      </w:r>
      <w:r>
        <w:rPr>
          <w:color w:val="000000"/>
        </w:rPr>
        <w:t xml:space="preserve">, a hosted PostgreSQL database with authentication. An </w:t>
      </w:r>
      <w:r>
        <w:rPr>
          <w:b/>
          <w:color w:val="000000"/>
        </w:rPr>
        <w:t>agent backend</w:t>
      </w:r>
      <w:r>
        <w:rPr>
          <w:color w:val="000000"/>
        </w:rPr>
        <w:t xml:space="preserve"> written in Python with FastAPI reads the user’s data from Supabase, computes the fall-risk score with a deterministic engine, and answers questions through an LLM. The backend runs on a laptop on the same Wi-Fi network as the phone; the LLM (gpt-oss-120b) is reached through the Groq API.</w:t>
      </w:r>
    </w:p>
    <w:p>
      <w:pPr>
        <w:spacing w:after="160" w:line="360" w:lineRule="auto"/>
        <w:ind w:firstLine="0"/>
        <w:jc w:val="both"/>
      </w:pPr>
      <w:r>
        <w:rPr>
          <w:color w:val="000000"/>
        </w:rPr>
        <w:t xml:space="preserve">The design follows one principle throughout: </w:t>
      </w:r>
      <w:r>
        <w:rPr>
          <w:b/>
          <w:color w:val="000000"/>
        </w:rPr>
        <w:t>the engine computes and the LLM explains</w:t>
      </w:r>
      <w:r>
        <w:rPr>
          <w:color w:val="000000"/>
        </w:rPr>
        <w:t>. Every score shown to the user, in the app or in the chat, is produced by the same deterministic engine, so it is reproducible and can be broken down into the contribution of each measurement. The LLM is used only to route questions, to classify emergencies as one of three signals, and to turn computed numbers into plain language.</w:t>
      </w:r>
    </w:p>
    <w:p>
      <w:pPr>
        <w:keepNext/>
        <w:spacing w:before="160" w:after="60"/>
        <w:jc w:val="center"/>
      </w:pPr>
      <w:r>
        <w:drawing>
          <wp:inline xmlns:a="http://schemas.openxmlformats.org/drawingml/2006/main" xmlns:pic="http://schemas.openxmlformats.org/drawingml/2006/picture">
            <wp:extent cx="5580000" cy="2686074"/>
            <wp:docPr id="854119967" name="Picture 854119967"/>
            <wp:cNvGraphicFramePr>
              <a:graphicFrameLocks noChangeAspect="1"/>
            </wp:cNvGraphicFramePr>
            <a:graphic>
              <a:graphicData uri="http://schemas.openxmlformats.org/drawingml/2006/picture">
                <pic:pic>
                  <pic:nvPicPr>
                    <pic:cNvPr id="0" name="system_overview.png"/>
                    <pic:cNvPicPr/>
                  </pic:nvPicPr>
                  <pic:blipFill>
                    <a:blip r:embed="rId16"/>
                    <a:stretch>
                      <a:fillRect/>
                    </a:stretch>
                  </pic:blipFill>
                  <pic:spPr>
                    <a:xfrm>
                      <a:off x="0" y="0"/>
                      <a:ext cx="5580000" cy="2686074"/>
                    </a:xfrm>
                    <a:prstGeom prst="rect"/>
                  </pic:spPr>
                </pic:pic>
              </a:graphicData>
            </a:graphic>
          </wp:inline>
        </w:drawing>
      </w:r>
    </w:p>
    <w:p>
      <w:pPr>
        <w:keepLines/>
        <w:spacing w:before="60" w:after="240"/>
        <w:jc w:val="center"/>
      </w:pPr>
      <w:r>
        <w:rPr>
          <w:i/>
          <w:color w:val="000000"/>
          <w:sz w:val="22"/>
        </w:rPr>
        <w:t>Figure 3.1: Overall architecture of the system</w:t>
      </w:r>
    </w:p>
    <w:p>
      <w:pPr>
        <w:keepNext/>
        <w:spacing w:before="320" w:after="120"/>
      </w:pPr>
      <w:r>
        <w:rPr>
          <w:b/>
          <w:color w:val="000000"/>
          <w:sz w:val="28"/>
        </w:rPr>
        <w:t>3.2 Smart-Ring Application</w:t>
      </w:r>
    </w:p>
    <w:p>
      <w:pPr>
        <w:keepNext/>
        <w:spacing w:before="200" w:after="80"/>
      </w:pPr>
      <w:r>
        <w:rPr>
          <w:b/>
          <w:color w:val="000000"/>
        </w:rPr>
        <w:t>3.2.1 Data Acquisition</w:t>
      </w:r>
    </w:p>
    <w:p>
      <w:pPr>
        <w:spacing w:after="160" w:line="360" w:lineRule="auto"/>
        <w:ind w:firstLine="0"/>
        <w:jc w:val="both"/>
      </w:pPr>
      <w:r>
        <w:rPr>
          <w:color w:val="000000"/>
        </w:rPr>
        <w:t>The application uses the ring vendor’s Android SDK through a Kotlin plugin exposed to Flutter by method and event channels. A foreground service keeps the BLE connection alive and runs a measurement loop that visits steps, heart rate, SpO₂, stress, blood pressure, HRV and temperature in turn. Each measurement has an adaptive timeout based on a rolling average of recent response times, so the radio is held open only as long as needed. The pause between full cycles adapts as well: three minutes when recent readings were abnormal and fifteen minutes after two consecutive normal cycles, which saves battery without missing changes. Sleep stages and historical data are downloaded from the ring’s internal memory when it connects.</w:t>
      </w:r>
    </w:p>
    <w:p>
      <w:pPr>
        <w:keepNext/>
        <w:spacing w:before="200" w:after="80"/>
      </w:pPr>
      <w:r>
        <w:rPr>
          <w:b/>
          <w:color w:val="000000"/>
        </w:rPr>
        <w:t>3.2.2 Local Storage and Cloud Synchronisation</w:t>
      </w:r>
    </w:p>
    <w:p>
      <w:pPr>
        <w:spacing w:after="160" w:line="360" w:lineRule="auto"/>
        <w:ind w:firstLine="0"/>
        <w:jc w:val="both"/>
      </w:pPr>
      <w:r>
        <w:rPr>
          <w:color w:val="000000"/>
        </w:rPr>
        <w:t>Every reading is first written to an on-device Room (SQLite) database, so the dashboard works without a network. A synchronisation manager pushes unsynchronised rows to Supabase every five minutes in batches of up to 200, with exponential back-off after failures, and updates the daily aggregate tables (for example user_hr, user_spo2, user_hrv, user_sleep, user_steps, user_temp, user_stress). Pushes are idempotent because each local reading carries a unique identifier. Users sign in with Supabase authentication, and all local data is wiped on logout.</w:t>
      </w:r>
    </w:p>
    <w:p>
      <w:pPr>
        <w:keepNext/>
        <w:spacing w:before="200" w:after="80"/>
      </w:pPr>
      <w:r>
        <w:rPr>
          <w:b/>
          <w:color w:val="000000"/>
        </w:rPr>
        <w:t>3.2.3 Phone-Based Fall Detection</w:t>
      </w:r>
    </w:p>
    <w:p>
      <w:pPr>
        <w:spacing w:after="160" w:line="360" w:lineRule="auto"/>
        <w:ind w:firstLine="0"/>
        <w:jc w:val="both"/>
      </w:pPr>
      <w:r>
        <w:rPr>
          <w:color w:val="000000"/>
        </w:rPr>
        <w:t>The ring’s SDK does not expose a continuous accelerometer stream, so falls are detected with the phone’s inertial sensors sampled at 50 Hz. A candidate fall must show the classic three-phase signature: a free-fall phase below 0.4 g lasting at least 80 ms, an impact above 3.0 g within 0.5 s, and a period of near-stillness afterwards. A candidate is accepted only when it is corroborated by a concurrent vital-sign change, which prevents a dropped phone from being recorded as a fall. Accepted events are logged with their confidence and shown in the fall history; to save battery, the high-rate sensors run only while the risk tier is elevated and switch off automatically after ten minutes.</w:t>
      </w:r>
    </w:p>
    <w:p>
      <w:pPr>
        <w:keepNext/>
        <w:spacing w:before="200" w:after="80"/>
      </w:pPr>
      <w:r>
        <w:rPr>
          <w:b/>
          <w:color w:val="000000"/>
        </w:rPr>
        <w:t>3.2.4 User Interface</w:t>
      </w:r>
    </w:p>
    <w:p>
      <w:pPr>
        <w:spacing w:after="160" w:line="360" w:lineRule="auto"/>
        <w:ind w:firstLine="0"/>
        <w:jc w:val="both"/>
      </w:pPr>
      <w:r>
        <w:rPr>
          <w:color w:val="000000"/>
        </w:rPr>
        <w:t>The application was reduced to three sections, reached from a bottom navigation bar, following a dark, minimal design system with glass-style cards:</w:t>
      </w:r>
    </w:p>
    <w:p>
      <w:pPr>
        <w:pStyle w:val="ListParagraph"/>
        <w:numPr>
          <w:ilvl w:val="0"/>
          <w:numId w:val="2"/>
        </w:numPr>
        <w:spacing w:before="40" w:after="40" w:line="360" w:lineRule="auto"/>
        <w:jc w:val="both"/>
      </w:pPr>
      <w:r>
        <w:rPr>
          <w:b/>
          <w:color w:val="000000"/>
        </w:rPr>
        <w:t>Home</w:t>
      </w:r>
      <w:r>
        <w:rPr>
          <w:color w:val="000000"/>
        </w:rPr>
        <w:t xml:space="preserve"> – cards for heart rate, blood oxygen, HRV, stress, blood pressure, temperature and sleep (and women’s health for female users). Each card opens a detail screen with daily charts and statistics.</w:t>
      </w:r>
    </w:p>
    <w:p>
      <w:pPr>
        <w:pStyle w:val="ListParagraph"/>
        <w:numPr>
          <w:ilvl w:val="0"/>
          <w:numId w:val="2"/>
        </w:numPr>
        <w:spacing w:before="40" w:after="40" w:line="360" w:lineRule="auto"/>
        <w:jc w:val="both"/>
      </w:pPr>
      <w:r>
        <w:rPr>
          <w:b/>
          <w:color w:val="000000"/>
        </w:rPr>
        <w:t>AI Assist</w:t>
      </w:r>
      <w:r>
        <w:rPr>
          <w:color w:val="000000"/>
        </w:rPr>
        <w:t xml:space="preserve"> – a chat with the agent. Replies can include data cards (for example a heart-rate trend). The address of the agent server on the laptop is set from a button on this screen.</w:t>
      </w:r>
    </w:p>
    <w:p>
      <w:pPr>
        <w:pStyle w:val="ListParagraph"/>
        <w:numPr>
          <w:ilvl w:val="0"/>
          <w:numId w:val="2"/>
        </w:numPr>
        <w:spacing w:before="40" w:after="40" w:line="360" w:lineRule="auto"/>
        <w:jc w:val="both"/>
      </w:pPr>
      <w:r>
        <w:rPr>
          <w:b/>
          <w:color w:val="000000"/>
        </w:rPr>
        <w:t>Fall Risk</w:t>
      </w:r>
      <w:r>
        <w:rPr>
          <w:color w:val="000000"/>
        </w:rPr>
        <w:t xml:space="preserve"> – the current Fall Risk Score, its tier, the fall history, and a “How this score is calculated” page that walks from the final score down to each measurement (Section 3.4.10).</w:t>
      </w:r>
    </w:p>
    <w:p>
      <w:pPr>
        <w:keepNext/>
        <w:pBdr>
          <w:top w:val="single" w:sz="4" w:space="0" w:color="000000"/>
          <w:left w:val="single" w:sz="4" w:space="0" w:color="000000"/>
          <w:bottom w:val="single" w:sz="4" w:space="0" w:color="000000"/>
          <w:right w:val="single" w:sz="4" w:space="0" w:color="000000"/>
        </w:pBdr>
        <w:spacing w:before="160" w:after="60"/>
        <w:jc w:val="center"/>
      </w:pPr>
      <w:r>
        <w:rPr>
          <w:i/>
          <w:color w:val="888888"/>
          <w:sz w:val="22"/>
        </w:rPr>
        <w:t>[Insert screenshot: Home dashboard]</w:t>
      </w:r>
    </w:p>
    <w:p>
      <w:pPr>
        <w:keepLines/>
        <w:spacing w:before="60" w:after="240"/>
        <w:jc w:val="center"/>
      </w:pPr>
      <w:r>
        <w:rPr>
          <w:i/>
          <w:color w:val="000000"/>
          <w:sz w:val="22"/>
        </w:rPr>
        <w:t>Figure 3.2: Home dashboard with vital-sign cards</w:t>
      </w:r>
    </w:p>
    <w:p>
      <w:pPr>
        <w:keepNext/>
        <w:pBdr>
          <w:top w:val="single" w:sz="4" w:space="0" w:color="000000"/>
          <w:left w:val="single" w:sz="4" w:space="0" w:color="000000"/>
          <w:bottom w:val="single" w:sz="4" w:space="0" w:color="000000"/>
          <w:right w:val="single" w:sz="4" w:space="0" w:color="000000"/>
        </w:pBdr>
        <w:spacing w:before="160" w:after="60"/>
        <w:jc w:val="center"/>
      </w:pPr>
      <w:r>
        <w:rPr>
          <w:i/>
          <w:color w:val="888888"/>
          <w:sz w:val="22"/>
        </w:rPr>
        <w:t>[Insert screenshot: AI Assist chat]</w:t>
      </w:r>
    </w:p>
    <w:p>
      <w:pPr>
        <w:keepLines/>
        <w:spacing w:before="60" w:after="240"/>
        <w:jc w:val="center"/>
      </w:pPr>
      <w:r>
        <w:rPr>
          <w:i/>
          <w:color w:val="000000"/>
          <w:sz w:val="22"/>
        </w:rPr>
        <w:t>Figure 3.3: AI Assist conversation with a data card</w:t>
      </w:r>
    </w:p>
    <w:p>
      <w:pPr>
        <w:keepNext/>
        <w:pBdr>
          <w:top w:val="single" w:sz="4" w:space="0" w:color="000000"/>
          <w:left w:val="single" w:sz="4" w:space="0" w:color="000000"/>
          <w:bottom w:val="single" w:sz="4" w:space="0" w:color="000000"/>
          <w:right w:val="single" w:sz="4" w:space="0" w:color="000000"/>
        </w:pBdr>
        <w:spacing w:before="160" w:after="60"/>
        <w:jc w:val="center"/>
      </w:pPr>
      <w:r>
        <w:rPr>
          <w:i/>
          <w:color w:val="888888"/>
          <w:sz w:val="22"/>
        </w:rPr>
        <w:t>[Insert screenshots: Fall Risk tab and “How this score is calculated”]</w:t>
      </w:r>
    </w:p>
    <w:p>
      <w:pPr>
        <w:keepLines/>
        <w:spacing w:before="60" w:after="240"/>
        <w:jc w:val="center"/>
      </w:pPr>
      <w:r>
        <w:rPr>
          <w:i/>
          <w:color w:val="000000"/>
          <w:sz w:val="22"/>
        </w:rPr>
        <w:t>Figure 3.4: Fall Risk page and score explanation</w:t>
      </w:r>
    </w:p>
    <w:p>
      <w:pPr>
        <w:keepNext/>
        <w:spacing w:before="320" w:after="120"/>
      </w:pPr>
      <w:r>
        <w:rPr>
          <w:b/>
          <w:color w:val="000000"/>
          <w:sz w:val="28"/>
        </w:rPr>
        <w:t>3.3 Data Sources and Datasets</w:t>
      </w:r>
    </w:p>
    <w:p>
      <w:pPr>
        <w:spacing w:after="160" w:line="360" w:lineRule="auto"/>
        <w:ind w:firstLine="0"/>
        <w:jc w:val="both"/>
      </w:pPr>
      <w:r>
        <w:rPr>
          <w:color w:val="000000"/>
        </w:rPr>
        <w:t>Because no public dataset contains smart-ring data, fall labels and conversations together, each part of the system was developed and evaluated on the data source best suited to it (Table 3.1).</w:t>
      </w:r>
    </w:p>
    <w:p>
      <w:pPr>
        <w:keepNext/>
        <w:spacing w:before="200" w:after="80"/>
        <w:jc w:val="center"/>
      </w:pPr>
      <w:r>
        <w:rPr>
          <w:i/>
          <w:color w:val="000000"/>
          <w:sz w:val="22"/>
        </w:rPr>
        <w:t>Table 3.1: Data sources used in the project and their purpose</w:t>
      </w:r>
    </w:p>
    <w:tbl>
      <w:tblPr>
        <w:tblStyle w:val="TableGrid"/>
        <w:tblW w:w="8845" w:type="dxa"/>
        <w:jc w:val="center"/>
        <w:tblLayout w:type="fixed"/>
        <w:tblLook w:firstColumn="1" w:firstRow="1" w:lastColumn="0" w:lastRow="0" w:noHBand="0" w:noVBand="1" w:val="04A0"/>
      </w:tblPr>
      <w:tblGrid>
        <w:gridCol w:w="2041"/>
        <w:gridCol w:w="3969"/>
        <w:gridCol w:w="2835"/>
      </w:tblGrid>
      <w:tr>
        <w:trPr>
          <w:cantSplit/>
          <w:tblHeader/>
        </w:trPr>
        <w:tc>
          <w:tcPr>
            <w:tcW w:w="2041" w:type="dxa"/>
            <w:shd w:val="clear" w:color="auto" w:fill="E7E6E6"/>
            <w:vAlign w:val="center"/>
          </w:tcPr>
          <w:p>
            <w:pPr>
              <w:spacing w:before="20" w:after="20"/>
              <w:jc w:val="center"/>
            </w:pPr>
            <w:r>
              <w:rPr>
                <w:b/>
                <w:color w:val="000000"/>
                <w:sz w:val="19"/>
              </w:rPr>
              <w:t>Data source</w:t>
            </w:r>
          </w:p>
        </w:tc>
        <w:tc>
          <w:tcPr>
            <w:tcW w:w="3969" w:type="dxa"/>
            <w:shd w:val="clear" w:color="auto" w:fill="E7E6E6"/>
            <w:vAlign w:val="center"/>
          </w:tcPr>
          <w:p>
            <w:pPr>
              <w:spacing w:before="20" w:after="20"/>
              <w:jc w:val="center"/>
            </w:pPr>
            <w:r>
              <w:rPr>
                <w:b/>
                <w:color w:val="000000"/>
                <w:sz w:val="19"/>
              </w:rPr>
              <w:t>Origin and content</w:t>
            </w:r>
          </w:p>
        </w:tc>
        <w:tc>
          <w:tcPr>
            <w:tcW w:w="2835" w:type="dxa"/>
            <w:shd w:val="clear" w:color="auto" w:fill="E7E6E6"/>
            <w:vAlign w:val="center"/>
          </w:tcPr>
          <w:p>
            <w:pPr>
              <w:spacing w:before="20" w:after="20"/>
              <w:jc w:val="center"/>
            </w:pPr>
            <w:r>
              <w:rPr>
                <w:b/>
                <w:color w:val="000000"/>
                <w:sz w:val="19"/>
              </w:rPr>
              <w:t>Used for</w:t>
            </w:r>
          </w:p>
        </w:tc>
      </w:tr>
      <w:tr>
        <w:trPr>
          <w:cantSplit/>
        </w:trPr>
        <w:tc>
          <w:tcPr>
            <w:tcW w:w="2041" w:type="dxa"/>
            <w:vAlign w:val="center"/>
          </w:tcPr>
          <w:p>
            <w:pPr>
              <w:spacing w:before="20" w:after="20"/>
              <w:jc w:val="left"/>
            </w:pPr>
            <w:r>
              <w:rPr>
                <w:color w:val="000000"/>
                <w:sz w:val="19"/>
              </w:rPr>
              <w:t>Live ring data</w:t>
            </w:r>
          </w:p>
        </w:tc>
        <w:tc>
          <w:tcPr>
            <w:tcW w:w="3969" w:type="dxa"/>
            <w:vAlign w:val="center"/>
          </w:tcPr>
          <w:p>
            <w:pPr>
              <w:spacing w:before="20" w:after="20"/>
              <w:jc w:val="left"/>
            </w:pPr>
            <w:r>
              <w:rPr>
                <w:color w:val="000000"/>
                <w:sz w:val="19"/>
              </w:rPr>
              <w:t>The team’s own smart ring → app → Supabase daily tables and fall events</w:t>
            </w:r>
          </w:p>
        </w:tc>
        <w:tc>
          <w:tcPr>
            <w:tcW w:w="2835" w:type="dxa"/>
            <w:vAlign w:val="center"/>
          </w:tcPr>
          <w:p>
            <w:pPr>
              <w:spacing w:before="20" w:after="20"/>
              <w:jc w:val="left"/>
            </w:pPr>
            <w:r>
              <w:rPr>
                <w:color w:val="000000"/>
                <w:sz w:val="19"/>
              </w:rPr>
              <w:t>Running system and demonstration</w:t>
            </w:r>
          </w:p>
        </w:tc>
      </w:tr>
      <w:tr>
        <w:trPr>
          <w:cantSplit/>
        </w:trPr>
        <w:tc>
          <w:tcPr>
            <w:tcW w:w="2041" w:type="dxa"/>
            <w:vAlign w:val="center"/>
          </w:tcPr>
          <w:p>
            <w:pPr>
              <w:spacing w:before="20" w:after="20"/>
              <w:jc w:val="left"/>
            </w:pPr>
            <w:r>
              <w:rPr>
                <w:color w:val="000000"/>
                <w:sz w:val="19"/>
              </w:rPr>
              <w:t>PhysioNet LTMM v1.0.0 [23]</w:t>
            </w:r>
          </w:p>
        </w:tc>
        <w:tc>
          <w:tcPr>
            <w:tcW w:w="3969" w:type="dxa"/>
            <w:vAlign w:val="center"/>
          </w:tcPr>
          <w:p>
            <w:pPr>
              <w:spacing w:before="20" w:after="20"/>
              <w:jc w:val="left"/>
            </w:pPr>
            <w:r>
              <w:rPr>
                <w:color w:val="000000"/>
                <w:sz w:val="19"/>
              </w:rPr>
              <w:t>73 older adults (35 fallers, 38 non-fallers); 1-min lab walks and 3-day recordings from a lower-back IMU at 100 Hz; clinical TUG and Berg scores</w:t>
            </w:r>
          </w:p>
        </w:tc>
        <w:tc>
          <w:tcPr>
            <w:tcW w:w="2835" w:type="dxa"/>
            <w:vAlign w:val="center"/>
          </w:tcPr>
          <w:p>
            <w:pPr>
              <w:spacing w:before="20" w:after="20"/>
              <w:jc w:val="left"/>
            </w:pPr>
            <w:r>
              <w:rPr>
                <w:color w:val="000000"/>
                <w:sz w:val="19"/>
              </w:rPr>
              <w:t>Real-data validation of the gait / motion pipeline (Experiments 1–3)</w:t>
            </w:r>
          </w:p>
        </w:tc>
      </w:tr>
      <w:tr>
        <w:trPr>
          <w:cantSplit/>
        </w:trPr>
        <w:tc>
          <w:tcPr>
            <w:tcW w:w="2041" w:type="dxa"/>
            <w:vAlign w:val="center"/>
          </w:tcPr>
          <w:p>
            <w:pPr>
              <w:spacing w:before="20" w:after="20"/>
              <w:jc w:val="left"/>
            </w:pPr>
            <w:r>
              <w:rPr>
                <w:color w:val="000000"/>
                <w:sz w:val="19"/>
              </w:rPr>
              <w:t>Synthetic demonstration cohort</w:t>
            </w:r>
          </w:p>
        </w:tc>
        <w:tc>
          <w:tcPr>
            <w:tcW w:w="3969" w:type="dxa"/>
            <w:vAlign w:val="center"/>
          </w:tcPr>
          <w:p>
            <w:pPr>
              <w:spacing w:before="20" w:after="20"/>
              <w:jc w:val="left"/>
            </w:pPr>
            <w:r>
              <w:rPr>
                <w:color w:val="000000"/>
                <w:sz w:val="19"/>
              </w:rPr>
              <w:t>5 users × 35 days generated with fixed seeds in the shape of the Supabase tables</w:t>
            </w:r>
          </w:p>
        </w:tc>
        <w:tc>
          <w:tcPr>
            <w:tcW w:w="2835" w:type="dxa"/>
            <w:vAlign w:val="center"/>
          </w:tcPr>
          <w:p>
            <w:pPr>
              <w:spacing w:before="20" w:after="20"/>
              <w:jc w:val="left"/>
            </w:pPr>
            <w:r>
              <w:rPr>
                <w:color w:val="000000"/>
                <w:sz w:val="19"/>
              </w:rPr>
              <w:t>Engine behaviour, cycle ablation and agent evaluation</w:t>
            </w:r>
          </w:p>
        </w:tc>
      </w:tr>
      <w:tr>
        <w:trPr>
          <w:cantSplit/>
        </w:trPr>
        <w:tc>
          <w:tcPr>
            <w:tcW w:w="2041" w:type="dxa"/>
            <w:vAlign w:val="center"/>
          </w:tcPr>
          <w:p>
            <w:pPr>
              <w:spacing w:before="20" w:after="20"/>
              <w:jc w:val="left"/>
            </w:pPr>
            <w:r>
              <w:rPr>
                <w:color w:val="000000"/>
                <w:sz w:val="19"/>
              </w:rPr>
              <w:t>Published effect sizes [11], [13], [14]</w:t>
            </w:r>
          </w:p>
        </w:tc>
        <w:tc>
          <w:tcPr>
            <w:tcW w:w="3969" w:type="dxa"/>
            <w:vAlign w:val="center"/>
          </w:tcPr>
          <w:p>
            <w:pPr>
              <w:spacing w:before="20" w:after="20"/>
              <w:jc w:val="left"/>
            </w:pPr>
            <w:r>
              <w:rPr>
                <w:color w:val="000000"/>
                <w:sz w:val="19"/>
              </w:rPr>
              <w:t>Odds and risk ratios of fall-risk factors from meta-analyses and cohort studies</w:t>
            </w:r>
          </w:p>
        </w:tc>
        <w:tc>
          <w:tcPr>
            <w:tcW w:w="2835" w:type="dxa"/>
            <w:vAlign w:val="center"/>
          </w:tcPr>
          <w:p>
            <w:pPr>
              <w:spacing w:before="20" w:after="20"/>
              <w:jc w:val="left"/>
            </w:pPr>
            <w:r>
              <w:rPr>
                <w:color w:val="000000"/>
                <w:sz w:val="19"/>
              </w:rPr>
              <w:t>Layer weights of the engine</w:t>
            </w:r>
          </w:p>
        </w:tc>
      </w:tr>
      <w:tr>
        <w:trPr>
          <w:cantSplit/>
        </w:trPr>
        <w:tc>
          <w:tcPr>
            <w:tcW w:w="2041" w:type="dxa"/>
            <w:vAlign w:val="center"/>
          </w:tcPr>
          <w:p>
            <w:pPr>
              <w:spacing w:before="20" w:after="20"/>
              <w:jc w:val="left"/>
            </w:pPr>
            <w:r>
              <w:rPr>
                <w:color w:val="000000"/>
                <w:sz w:val="19"/>
              </w:rPr>
              <w:t>Agent test scenarios</w:t>
            </w:r>
          </w:p>
        </w:tc>
        <w:tc>
          <w:tcPr>
            <w:tcW w:w="3969" w:type="dxa"/>
            <w:vAlign w:val="center"/>
          </w:tcPr>
          <w:p>
            <w:pPr>
              <w:spacing w:before="20" w:after="20"/>
              <w:jc w:val="left"/>
            </w:pPr>
            <w:r>
              <w:rPr>
                <w:color w:val="000000"/>
                <w:sz w:val="19"/>
              </w:rPr>
              <w:t>11 written scenarios: 3 emergencies and 8 non-emergencies</w:t>
            </w:r>
          </w:p>
        </w:tc>
        <w:tc>
          <w:tcPr>
            <w:tcW w:w="2835" w:type="dxa"/>
            <w:vAlign w:val="center"/>
          </w:tcPr>
          <w:p>
            <w:pPr>
              <w:spacing w:before="20" w:after="20"/>
              <w:jc w:val="left"/>
            </w:pPr>
            <w:r>
              <w:rPr>
                <w:color w:val="000000"/>
                <w:sz w:val="19"/>
              </w:rPr>
              <w:t>Comparison of agent versions A–D</w:t>
            </w:r>
          </w:p>
        </w:tc>
      </w:tr>
      <w:tr>
        <w:trPr>
          <w:cantSplit/>
        </w:trPr>
        <w:tc>
          <w:tcPr>
            <w:tcW w:w="2041" w:type="dxa"/>
            <w:vAlign w:val="center"/>
          </w:tcPr>
          <w:p>
            <w:pPr>
              <w:spacing w:before="20" w:after="20"/>
              <w:jc w:val="left"/>
            </w:pPr>
            <w:r>
              <w:rPr>
                <w:color w:val="000000"/>
                <w:sz w:val="19"/>
              </w:rPr>
              <w:t>Medical knowledge base</w:t>
            </w:r>
          </w:p>
        </w:tc>
        <w:tc>
          <w:tcPr>
            <w:tcW w:w="3969" w:type="dxa"/>
            <w:vAlign w:val="center"/>
          </w:tcPr>
          <w:p>
            <w:pPr>
              <w:spacing w:before="20" w:after="20"/>
              <w:jc w:val="left"/>
            </w:pPr>
            <w:r>
              <w:rPr>
                <w:color w:val="000000"/>
                <w:sz w:val="19"/>
              </w:rPr>
              <w:t>Short reference documents and the MedlinePlus service</w:t>
            </w:r>
          </w:p>
        </w:tc>
        <w:tc>
          <w:tcPr>
            <w:tcW w:w="2835" w:type="dxa"/>
            <w:vAlign w:val="center"/>
          </w:tcPr>
          <w:p>
            <w:pPr>
              <w:spacing w:before="20" w:after="20"/>
              <w:jc w:val="left"/>
            </w:pPr>
            <w:r>
              <w:rPr>
                <w:color w:val="000000"/>
                <w:sz w:val="19"/>
              </w:rPr>
              <w:t>Background knowledge in general (non-personal) answers</w:t>
            </w:r>
          </w:p>
        </w:tc>
      </w:tr>
    </w:tbl>
    <w:p>
      <w:pPr>
        <w:spacing w:before="0" w:after="120"/>
      </w:pPr>
    </w:p>
    <w:p>
      <w:pPr>
        <w:keepNext/>
        <w:spacing w:before="200" w:after="80"/>
      </w:pPr>
      <w:r>
        <w:rPr>
          <w:b/>
          <w:color w:val="000000"/>
        </w:rPr>
        <w:t>3.3.1 PhysioNet Long Term Movement Monitoring Database</w:t>
      </w:r>
    </w:p>
    <w:p>
      <w:pPr>
        <w:spacing w:after="160" w:line="360" w:lineRule="auto"/>
        <w:ind w:firstLine="0"/>
        <w:jc w:val="both"/>
      </w:pPr>
      <w:r>
        <w:rPr>
          <w:color w:val="000000"/>
        </w:rPr>
        <w:t>The LTMM database [19], [23] contains recordings from community-dwelling older adults who wore a 3-axis accelerometer and gyroscope on the lower back. Subjects whose identifiers start with “FL” reported at least two falls in the previous year and are treated as fallers; subjects starting with “CO” are non-fallers. We use the one-minute laboratory walks of all 73 subjects (about 5 MB), sampled at 100 Hz, and for Experiment 3 twelve 30-minute slices of each subject’s three-day free-living recording, fetched with HTTP range requests. The accompanying spreadsheet provides the Timed Up and Go time and the Berg Balance Scale for 69 subjects, which serve as clinical comparators. Labels are retrospective, so the experiments measure discrimination between fallers and non-fallers rather than prospective prediction.</w:t>
      </w:r>
    </w:p>
    <w:p>
      <w:pPr>
        <w:keepNext/>
        <w:spacing w:before="200" w:after="80"/>
      </w:pPr>
      <w:r>
        <w:rPr>
          <w:b/>
          <w:color w:val="000000"/>
        </w:rPr>
        <w:t>3.3.2 Synthetic Demonstration Cohort</w:t>
      </w:r>
    </w:p>
    <w:p>
      <w:pPr>
        <w:spacing w:after="160" w:line="360" w:lineRule="auto"/>
        <w:ind w:firstLine="0"/>
        <w:jc w:val="both"/>
      </w:pPr>
      <w:r>
        <w:rPr>
          <w:color w:val="000000"/>
        </w:rPr>
        <w:t>To test the engine and the agent end to end, five users with 35 days of data each were generated deterministically and seeded into Supabase in exactly the shape of the real tables (Table 3.2). The generator builds in realistic couplings: shorter sleep lowers HRV and the sleep score; higher stress raises resting heart rate and worsens the next night’s sleep; and in the luteal phase skin temperature rises by 0.35 °C, resting heart rate by 3 bpm and HRV falls by 10%. These couplings were written by us, so the cohort shows that the engine behaves as designed; it is not evidence of clinical validity.</w:t>
      </w:r>
    </w:p>
    <w:p>
      <w:pPr>
        <w:keepNext/>
        <w:spacing w:before="200" w:after="80"/>
        <w:jc w:val="center"/>
      </w:pPr>
      <w:r>
        <w:rPr>
          <w:i/>
          <w:color w:val="000000"/>
          <w:sz w:val="22"/>
        </w:rPr>
        <w:t>Table 3.2: Synthetic demonstration cohort (35 days per user)</w:t>
      </w:r>
    </w:p>
    <w:tbl>
      <w:tblPr>
        <w:tblStyle w:val="TableGrid"/>
        <w:tblW w:w="8845" w:type="dxa"/>
        <w:jc w:val="center"/>
        <w:tblLayout w:type="fixed"/>
        <w:tblLook w:firstColumn="1" w:firstRow="1" w:lastColumn="0" w:lastRow="0" w:noHBand="0" w:noVBand="1" w:val="04A0"/>
      </w:tblPr>
      <w:tblGrid>
        <w:gridCol w:w="1247"/>
        <w:gridCol w:w="1247"/>
        <w:gridCol w:w="3175"/>
        <w:gridCol w:w="3175"/>
      </w:tblGrid>
      <w:tr>
        <w:trPr>
          <w:cantSplit/>
          <w:tblHeader/>
        </w:trPr>
        <w:tc>
          <w:tcPr>
            <w:tcW w:w="1247" w:type="dxa"/>
            <w:shd w:val="clear" w:color="auto" w:fill="E7E6E6"/>
            <w:vAlign w:val="center"/>
          </w:tcPr>
          <w:p>
            <w:pPr>
              <w:spacing w:before="20" w:after="20"/>
              <w:jc w:val="center"/>
            </w:pPr>
            <w:r>
              <w:rPr>
                <w:b/>
                <w:color w:val="000000"/>
                <w:sz w:val="19"/>
              </w:rPr>
              <w:t>User</w:t>
            </w:r>
          </w:p>
        </w:tc>
        <w:tc>
          <w:tcPr>
            <w:tcW w:w="1247" w:type="dxa"/>
            <w:shd w:val="clear" w:color="auto" w:fill="E7E6E6"/>
            <w:vAlign w:val="center"/>
          </w:tcPr>
          <w:p>
            <w:pPr>
              <w:spacing w:before="20" w:after="20"/>
              <w:jc w:val="center"/>
            </w:pPr>
            <w:r>
              <w:rPr>
                <w:b/>
                <w:color w:val="000000"/>
                <w:sz w:val="19"/>
              </w:rPr>
              <w:t>Age / sex</w:t>
            </w:r>
          </w:p>
        </w:tc>
        <w:tc>
          <w:tcPr>
            <w:tcW w:w="3175" w:type="dxa"/>
            <w:shd w:val="clear" w:color="auto" w:fill="E7E6E6"/>
            <w:vAlign w:val="center"/>
          </w:tcPr>
          <w:p>
            <w:pPr>
              <w:spacing w:before="20" w:after="20"/>
              <w:jc w:val="center"/>
            </w:pPr>
            <w:r>
              <w:rPr>
                <w:b/>
                <w:color w:val="000000"/>
                <w:sz w:val="19"/>
              </w:rPr>
              <w:t>Scenario</w:t>
            </w:r>
          </w:p>
        </w:tc>
        <w:tc>
          <w:tcPr>
            <w:tcW w:w="3175" w:type="dxa"/>
            <w:shd w:val="clear" w:color="auto" w:fill="E7E6E6"/>
            <w:vAlign w:val="center"/>
          </w:tcPr>
          <w:p>
            <w:pPr>
              <w:spacing w:before="20" w:after="20"/>
              <w:jc w:val="center"/>
            </w:pPr>
            <w:r>
              <w:rPr>
                <w:b/>
                <w:color w:val="000000"/>
                <w:sz w:val="19"/>
              </w:rPr>
              <w:t>Expected behaviour</w:t>
            </w:r>
          </w:p>
        </w:tc>
      </w:tr>
      <w:tr>
        <w:trPr>
          <w:cantSplit/>
        </w:trPr>
        <w:tc>
          <w:tcPr>
            <w:tcW w:w="1247" w:type="dxa"/>
            <w:vAlign w:val="center"/>
          </w:tcPr>
          <w:p>
            <w:pPr>
              <w:spacing w:before="20" w:after="20"/>
              <w:jc w:val="left"/>
            </w:pPr>
            <w:r>
              <w:rPr>
                <w:color w:val="000000"/>
                <w:sz w:val="19"/>
              </w:rPr>
              <w:t>Arun</w:t>
            </w:r>
          </w:p>
        </w:tc>
        <w:tc>
          <w:tcPr>
            <w:tcW w:w="1247" w:type="dxa"/>
            <w:vAlign w:val="center"/>
          </w:tcPr>
          <w:p>
            <w:pPr>
              <w:spacing w:before="20" w:after="20"/>
              <w:jc w:val="left"/>
            </w:pPr>
            <w:r>
              <w:rPr>
                <w:color w:val="000000"/>
                <w:sz w:val="19"/>
              </w:rPr>
              <w:t>29 / M</w:t>
            </w:r>
          </w:p>
        </w:tc>
        <w:tc>
          <w:tcPr>
            <w:tcW w:w="3175" w:type="dxa"/>
            <w:vAlign w:val="center"/>
          </w:tcPr>
          <w:p>
            <w:pPr>
              <w:spacing w:before="20" w:after="20"/>
              <w:jc w:val="left"/>
            </w:pPr>
            <w:r>
              <w:rPr>
                <w:color w:val="000000"/>
                <w:sz w:val="19"/>
              </w:rPr>
              <w:t>Stable, healthy</w:t>
            </w:r>
          </w:p>
        </w:tc>
        <w:tc>
          <w:tcPr>
            <w:tcW w:w="3175" w:type="dxa"/>
            <w:vAlign w:val="center"/>
          </w:tcPr>
          <w:p>
            <w:pPr>
              <w:spacing w:before="20" w:after="20"/>
              <w:jc w:val="left"/>
            </w:pPr>
            <w:r>
              <w:rPr>
                <w:color w:val="000000"/>
                <w:sz w:val="19"/>
              </w:rPr>
              <w:t>Low risk</w:t>
            </w:r>
          </w:p>
        </w:tc>
      </w:tr>
      <w:tr>
        <w:trPr>
          <w:cantSplit/>
        </w:trPr>
        <w:tc>
          <w:tcPr>
            <w:tcW w:w="1247" w:type="dxa"/>
            <w:vAlign w:val="center"/>
          </w:tcPr>
          <w:p>
            <w:pPr>
              <w:spacing w:before="20" w:after="20"/>
              <w:jc w:val="left"/>
            </w:pPr>
            <w:r>
              <w:rPr>
                <w:color w:val="000000"/>
                <w:sz w:val="19"/>
              </w:rPr>
              <w:t>Meera</w:t>
            </w:r>
          </w:p>
        </w:tc>
        <w:tc>
          <w:tcPr>
            <w:tcW w:w="1247" w:type="dxa"/>
            <w:vAlign w:val="center"/>
          </w:tcPr>
          <w:p>
            <w:pPr>
              <w:spacing w:before="20" w:after="20"/>
              <w:jc w:val="left"/>
            </w:pPr>
            <w:r>
              <w:rPr>
                <w:color w:val="000000"/>
                <w:sz w:val="19"/>
              </w:rPr>
              <w:t>31 / F</w:t>
            </w:r>
          </w:p>
        </w:tc>
        <w:tc>
          <w:tcPr>
            <w:tcW w:w="3175" w:type="dxa"/>
            <w:vAlign w:val="center"/>
          </w:tcPr>
          <w:p>
            <w:pPr>
              <w:spacing w:before="20" w:after="20"/>
              <w:jc w:val="left"/>
            </w:pPr>
            <w:r>
              <w:rPr>
                <w:color w:val="000000"/>
                <w:sz w:val="19"/>
              </w:rPr>
              <w:t>Luteal phase, poor recovery, one past fall</w:t>
            </w:r>
          </w:p>
        </w:tc>
        <w:tc>
          <w:tcPr>
            <w:tcW w:w="3175" w:type="dxa"/>
            <w:vAlign w:val="center"/>
          </w:tcPr>
          <w:p>
            <w:pPr>
              <w:spacing w:before="20" w:after="20"/>
              <w:jc w:val="left"/>
            </w:pPr>
            <w:r>
              <w:rPr>
                <w:color w:val="000000"/>
                <w:sz w:val="19"/>
              </w:rPr>
              <w:t>Moderate risk; cycle-aware baseline applied</w:t>
            </w:r>
          </w:p>
        </w:tc>
      </w:tr>
      <w:tr>
        <w:trPr>
          <w:cantSplit/>
        </w:trPr>
        <w:tc>
          <w:tcPr>
            <w:tcW w:w="1247" w:type="dxa"/>
            <w:vAlign w:val="center"/>
          </w:tcPr>
          <w:p>
            <w:pPr>
              <w:spacing w:before="20" w:after="20"/>
              <w:jc w:val="left"/>
            </w:pPr>
            <w:r>
              <w:rPr>
                <w:color w:val="000000"/>
                <w:sz w:val="19"/>
              </w:rPr>
              <w:t>Ravi</w:t>
            </w:r>
          </w:p>
        </w:tc>
        <w:tc>
          <w:tcPr>
            <w:tcW w:w="1247" w:type="dxa"/>
            <w:vAlign w:val="center"/>
          </w:tcPr>
          <w:p>
            <w:pPr>
              <w:spacing w:before="20" w:after="20"/>
              <w:jc w:val="left"/>
            </w:pPr>
            <w:r>
              <w:rPr>
                <w:color w:val="000000"/>
                <w:sz w:val="19"/>
              </w:rPr>
              <w:t>67 / M</w:t>
            </w:r>
          </w:p>
        </w:tc>
        <w:tc>
          <w:tcPr>
            <w:tcW w:w="3175" w:type="dxa"/>
            <w:vAlign w:val="center"/>
          </w:tcPr>
          <w:p>
            <w:pPr>
              <w:spacing w:before="20" w:after="20"/>
              <w:jc w:val="left"/>
            </w:pPr>
            <w:r>
              <w:rPr>
                <w:color w:val="000000"/>
                <w:sz w:val="19"/>
              </w:rPr>
              <w:t>Data four days old</w:t>
            </w:r>
          </w:p>
        </w:tc>
        <w:tc>
          <w:tcPr>
            <w:tcW w:w="3175" w:type="dxa"/>
            <w:vAlign w:val="center"/>
          </w:tcPr>
          <w:p>
            <w:pPr>
              <w:spacing w:before="20" w:after="20"/>
              <w:jc w:val="left"/>
            </w:pPr>
            <w:r>
              <w:rPr>
                <w:color w:val="000000"/>
                <w:sz w:val="19"/>
              </w:rPr>
              <w:t>Low risk, flagged as stale, lower confidence</w:t>
            </w:r>
          </w:p>
        </w:tc>
      </w:tr>
      <w:tr>
        <w:trPr>
          <w:cantSplit/>
        </w:trPr>
        <w:tc>
          <w:tcPr>
            <w:tcW w:w="1247" w:type="dxa"/>
            <w:vAlign w:val="center"/>
          </w:tcPr>
          <w:p>
            <w:pPr>
              <w:spacing w:before="20" w:after="20"/>
              <w:jc w:val="left"/>
            </w:pPr>
            <w:r>
              <w:rPr>
                <w:color w:val="000000"/>
                <w:sz w:val="19"/>
              </w:rPr>
              <w:t>Lakshmi</w:t>
            </w:r>
          </w:p>
        </w:tc>
        <w:tc>
          <w:tcPr>
            <w:tcW w:w="1247" w:type="dxa"/>
            <w:vAlign w:val="center"/>
          </w:tcPr>
          <w:p>
            <w:pPr>
              <w:spacing w:before="20" w:after="20"/>
              <w:jc w:val="left"/>
            </w:pPr>
            <w:r>
              <w:rPr>
                <w:color w:val="000000"/>
                <w:sz w:val="19"/>
              </w:rPr>
              <w:t>72 / F</w:t>
            </w:r>
          </w:p>
        </w:tc>
        <w:tc>
          <w:tcPr>
            <w:tcW w:w="3175" w:type="dxa"/>
            <w:vAlign w:val="center"/>
          </w:tcPr>
          <w:p>
            <w:pPr>
              <w:spacing w:before="20" w:after="20"/>
              <w:jc w:val="left"/>
            </w:pPr>
            <w:r>
              <w:rPr>
                <w:color w:val="000000"/>
                <w:sz w:val="19"/>
              </w:rPr>
              <w:t>Three falls in the past year, two recent near-falls</w:t>
            </w:r>
          </w:p>
        </w:tc>
        <w:tc>
          <w:tcPr>
            <w:tcW w:w="3175" w:type="dxa"/>
            <w:vAlign w:val="center"/>
          </w:tcPr>
          <w:p>
            <w:pPr>
              <w:spacing w:before="20" w:after="20"/>
              <w:jc w:val="left"/>
            </w:pPr>
            <w:r>
              <w:rPr>
                <w:color w:val="000000"/>
                <w:sz w:val="19"/>
              </w:rPr>
              <w:t>High risk; emergency on a fresh ring fall event</w:t>
            </w:r>
          </w:p>
        </w:tc>
      </w:tr>
      <w:tr>
        <w:trPr>
          <w:cantSplit/>
        </w:trPr>
        <w:tc>
          <w:tcPr>
            <w:tcW w:w="1247" w:type="dxa"/>
            <w:vAlign w:val="center"/>
          </w:tcPr>
          <w:p>
            <w:pPr>
              <w:spacing w:before="20" w:after="20"/>
              <w:jc w:val="left"/>
            </w:pPr>
            <w:r>
              <w:rPr>
                <w:color w:val="000000"/>
                <w:sz w:val="19"/>
              </w:rPr>
              <w:t>Priya</w:t>
            </w:r>
          </w:p>
        </w:tc>
        <w:tc>
          <w:tcPr>
            <w:tcW w:w="1247" w:type="dxa"/>
            <w:vAlign w:val="center"/>
          </w:tcPr>
          <w:p>
            <w:pPr>
              <w:spacing w:before="20" w:after="20"/>
              <w:jc w:val="left"/>
            </w:pPr>
            <w:r>
              <w:rPr>
                <w:color w:val="000000"/>
                <w:sz w:val="19"/>
              </w:rPr>
              <w:t>27 / F</w:t>
            </w:r>
          </w:p>
        </w:tc>
        <w:tc>
          <w:tcPr>
            <w:tcW w:w="3175" w:type="dxa"/>
            <w:vAlign w:val="center"/>
          </w:tcPr>
          <w:p>
            <w:pPr>
              <w:spacing w:before="20" w:after="20"/>
              <w:jc w:val="left"/>
            </w:pPr>
            <w:r>
              <w:rPr>
                <w:color w:val="000000"/>
                <w:sz w:val="19"/>
              </w:rPr>
              <w:t>Healthy, luteal phase</w:t>
            </w:r>
          </w:p>
        </w:tc>
        <w:tc>
          <w:tcPr>
            <w:tcW w:w="3175" w:type="dxa"/>
            <w:vAlign w:val="center"/>
          </w:tcPr>
          <w:p>
            <w:pPr>
              <w:spacing w:before="20" w:after="20"/>
              <w:jc w:val="left"/>
            </w:pPr>
            <w:r>
              <w:rPr>
                <w:color w:val="000000"/>
                <w:sz w:val="19"/>
              </w:rPr>
              <w:t>Low risk; cycle correction lowers physiology strain</w:t>
            </w:r>
          </w:p>
        </w:tc>
      </w:tr>
    </w:tbl>
    <w:p>
      <w:pPr>
        <w:spacing w:before="0" w:after="120"/>
      </w:pPr>
    </w:p>
    <w:p>
      <w:pPr>
        <w:keepNext/>
        <w:spacing w:before="320" w:after="120"/>
      </w:pPr>
      <w:r>
        <w:rPr>
          <w:b/>
          <w:color w:val="000000"/>
          <w:sz w:val="28"/>
        </w:rPr>
        <w:t>3.4 Deterministic Fall-Risk Engine</w:t>
      </w:r>
    </w:p>
    <w:p>
      <w:pPr>
        <w:spacing w:after="160" w:line="360" w:lineRule="auto"/>
        <w:ind w:firstLine="0"/>
        <w:jc w:val="both"/>
      </w:pPr>
      <w:r>
        <w:rPr>
          <w:color w:val="000000"/>
        </w:rPr>
        <w:t>The engine computes a Fall Risk Score (FRS) between 0 and 100 for a user on a given date d</w:t>
      </w:r>
      <w:r>
        <w:rPr>
          <w:vertAlign w:val="subscript"/>
          <w:color w:val="000000"/>
        </w:rPr>
        <w:t>0</w:t>
      </w:r>
      <w:r>
        <w:rPr>
          <w:color w:val="000000"/>
        </w:rPr>
        <w:t>. It does not learn its parameters from fall labels. Instead it (i) learns each user’s normal range from the user’s own history, (ii) measures how far today’s values are from that range, and (iii) combines the deviations with weights taken from published clinical evidence. The pipeline is shown step by step for a demonstration user in Figures 3.6 to 3.9 and specified below.</w:t>
      </w:r>
    </w:p>
    <w:p>
      <w:pPr>
        <w:keepNext/>
        <w:spacing w:before="200" w:after="80"/>
      </w:pPr>
      <w:r>
        <w:rPr>
          <w:b/>
          <w:color w:val="000000"/>
        </w:rPr>
        <w:t>3.4.1 Inputs and Layers</w:t>
      </w:r>
    </w:p>
    <w:p>
      <w:pPr>
        <w:spacing w:after="160" w:line="360" w:lineRule="auto"/>
        <w:ind w:firstLine="0"/>
        <w:jc w:val="both"/>
      </w:pPr>
      <w:r>
        <w:rPr>
          <w:color w:val="000000"/>
        </w:rPr>
        <w:t>Eight daily features are grouped into three measurement layers, and fall events form a fourth layer (Table 3.3). Within each layer the feature weights w</w:t>
      </w:r>
      <w:r>
        <w:rPr>
          <w:vertAlign w:val="subscript"/>
          <w:color w:val="000000"/>
        </w:rPr>
        <w:t>k</w:t>
      </w:r>
      <w:r>
        <w:rPr>
          <w:color w:val="000000"/>
        </w:rPr>
        <w:t xml:space="preserve"> sum to one. Each feature has a risk direction (whether a low or a high value is worse) and a minimum spread that prevents tiny natural variation from producing large z-scores.</w:t>
      </w:r>
    </w:p>
    <w:p>
      <w:pPr>
        <w:keepNext/>
        <w:spacing w:before="200" w:after="80"/>
        <w:jc w:val="center"/>
      </w:pPr>
      <w:r>
        <w:rPr>
          <w:i/>
          <w:color w:val="000000"/>
          <w:sz w:val="22"/>
        </w:rPr>
        <w:t>Table 3.3: Engine inputs, layers and within-layer weights</w:t>
      </w:r>
    </w:p>
    <w:tbl>
      <w:tblPr>
        <w:tblStyle w:val="TableGrid"/>
        <w:tblW w:w="8278" w:type="dxa"/>
        <w:jc w:val="center"/>
        <w:tblLayout w:type="fixed"/>
        <w:tblLook w:firstColumn="1" w:firstRow="1" w:lastColumn="0" w:lastRow="0" w:noHBand="0" w:noVBand="1" w:val="04A0"/>
      </w:tblPr>
      <w:tblGrid>
        <w:gridCol w:w="1474"/>
        <w:gridCol w:w="2608"/>
        <w:gridCol w:w="1474"/>
        <w:gridCol w:w="680"/>
        <w:gridCol w:w="1020"/>
        <w:gridCol w:w="1020"/>
      </w:tblGrid>
      <w:tr>
        <w:trPr>
          <w:cantSplit/>
          <w:tblHeader/>
        </w:trPr>
        <w:tc>
          <w:tcPr>
            <w:tcW w:w="1474" w:type="dxa"/>
            <w:shd w:val="clear" w:color="auto" w:fill="E7E6E6"/>
            <w:vAlign w:val="center"/>
          </w:tcPr>
          <w:p>
            <w:pPr>
              <w:spacing w:before="20" w:after="20"/>
              <w:jc w:val="center"/>
            </w:pPr>
            <w:r>
              <w:rPr>
                <w:b/>
                <w:color w:val="000000"/>
                <w:sz w:val="18"/>
              </w:rPr>
              <w:t>Feature k</w:t>
            </w:r>
          </w:p>
        </w:tc>
        <w:tc>
          <w:tcPr>
            <w:tcW w:w="2608" w:type="dxa"/>
            <w:shd w:val="clear" w:color="auto" w:fill="E7E6E6"/>
            <w:vAlign w:val="center"/>
          </w:tcPr>
          <w:p>
            <w:pPr>
              <w:spacing w:before="20" w:after="20"/>
              <w:jc w:val="center"/>
            </w:pPr>
            <w:r>
              <w:rPr>
                <w:b/>
                <w:color w:val="000000"/>
                <w:sz w:val="18"/>
              </w:rPr>
              <w:t>Source table / column</w:t>
            </w:r>
          </w:p>
        </w:tc>
        <w:tc>
          <w:tcPr>
            <w:tcW w:w="1474" w:type="dxa"/>
            <w:shd w:val="clear" w:color="auto" w:fill="E7E6E6"/>
            <w:vAlign w:val="center"/>
          </w:tcPr>
          <w:p>
            <w:pPr>
              <w:spacing w:before="20" w:after="20"/>
              <w:jc w:val="center"/>
            </w:pPr>
            <w:r>
              <w:rPr>
                <w:b/>
                <w:color w:val="000000"/>
                <w:sz w:val="18"/>
              </w:rPr>
              <w:t>Layer</w:t>
            </w:r>
          </w:p>
        </w:tc>
        <w:tc>
          <w:tcPr>
            <w:tcW w:w="680" w:type="dxa"/>
            <w:shd w:val="clear" w:color="auto" w:fill="E7E6E6"/>
            <w:vAlign w:val="center"/>
          </w:tcPr>
          <w:p>
            <w:pPr>
              <w:spacing w:before="20" w:after="20"/>
              <w:jc w:val="center"/>
            </w:pPr>
            <w:r>
              <w:rPr>
                <w:b/>
                <w:color w:val="000000"/>
                <w:sz w:val="18"/>
              </w:rPr>
              <w:t>w</w:t>
            </w:r>
            <w:r>
              <w:rPr>
                <w:b/>
                <w:sz w:val="18"/>
                <w:vertAlign w:val="subscript"/>
                <w:color w:val="000000"/>
              </w:rPr>
              <w:t>k</w:t>
            </w:r>
          </w:p>
        </w:tc>
        <w:tc>
          <w:tcPr>
            <w:tcW w:w="1020" w:type="dxa"/>
            <w:shd w:val="clear" w:color="auto" w:fill="E7E6E6"/>
            <w:vAlign w:val="center"/>
          </w:tcPr>
          <w:p>
            <w:pPr>
              <w:spacing w:before="20" w:after="20"/>
              <w:jc w:val="center"/>
            </w:pPr>
            <w:r>
              <w:rPr>
                <w:b/>
                <w:color w:val="000000"/>
                <w:sz w:val="18"/>
              </w:rPr>
              <w:t>Worse when</w:t>
            </w:r>
          </w:p>
        </w:tc>
        <w:tc>
          <w:tcPr>
            <w:tcW w:w="1020" w:type="dxa"/>
            <w:shd w:val="clear" w:color="auto" w:fill="E7E6E6"/>
            <w:vAlign w:val="center"/>
          </w:tcPr>
          <w:p>
            <w:pPr>
              <w:spacing w:before="20" w:after="20"/>
              <w:jc w:val="center"/>
            </w:pPr>
            <w:r>
              <w:rPr>
                <w:b/>
                <w:color w:val="000000"/>
                <w:sz w:val="18"/>
              </w:rPr>
              <w:t>Min. spread</w:t>
            </w:r>
          </w:p>
        </w:tc>
      </w:tr>
      <w:tr>
        <w:trPr>
          <w:cantSplit/>
        </w:trPr>
        <w:tc>
          <w:tcPr>
            <w:tcW w:w="1474" w:type="dxa"/>
            <w:vAlign w:val="center"/>
          </w:tcPr>
          <w:p>
            <w:pPr>
              <w:spacing w:before="20" w:after="20"/>
              <w:jc w:val="left"/>
            </w:pPr>
            <w:r>
              <w:rPr>
                <w:color w:val="000000"/>
                <w:sz w:val="18"/>
              </w:rPr>
              <w:t>HRV</w:t>
            </w:r>
          </w:p>
        </w:tc>
        <w:tc>
          <w:tcPr>
            <w:tcW w:w="2608" w:type="dxa"/>
            <w:vAlign w:val="center"/>
          </w:tcPr>
          <w:p>
            <w:pPr>
              <w:spacing w:before="20" w:after="20"/>
              <w:jc w:val="left"/>
            </w:pPr>
            <w:r>
              <w:rPr>
                <w:color w:val="000000"/>
                <w:sz w:val="18"/>
              </w:rPr>
              <w:t>user_hrv.avg_hrv</w:t>
            </w:r>
          </w:p>
        </w:tc>
        <w:tc>
          <w:tcPr>
            <w:tcW w:w="1474" w:type="dxa"/>
            <w:vAlign w:val="center"/>
          </w:tcPr>
          <w:p>
            <w:pPr>
              <w:spacing w:before="20" w:after="20"/>
              <w:jc w:val="left"/>
            </w:pPr>
            <w:r>
              <w:rPr>
                <w:color w:val="000000"/>
                <w:sz w:val="18"/>
              </w:rPr>
              <w:t>Physiology (P)</w:t>
            </w:r>
          </w:p>
        </w:tc>
        <w:tc>
          <w:tcPr>
            <w:tcW w:w="680" w:type="dxa"/>
            <w:vAlign w:val="center"/>
          </w:tcPr>
          <w:p>
            <w:pPr>
              <w:spacing w:before="20" w:after="20"/>
              <w:jc w:val="left"/>
            </w:pPr>
            <w:r>
              <w:rPr>
                <w:color w:val="000000"/>
                <w:sz w:val="18"/>
              </w:rPr>
              <w:t>0.35</w:t>
            </w:r>
          </w:p>
        </w:tc>
        <w:tc>
          <w:tcPr>
            <w:tcW w:w="1020" w:type="dxa"/>
            <w:vAlign w:val="center"/>
          </w:tcPr>
          <w:p>
            <w:pPr>
              <w:spacing w:before="20" w:after="20"/>
              <w:jc w:val="left"/>
            </w:pPr>
            <w:r>
              <w:rPr>
                <w:color w:val="000000"/>
                <w:sz w:val="18"/>
              </w:rPr>
              <w:t>low</w:t>
            </w:r>
          </w:p>
        </w:tc>
        <w:tc>
          <w:tcPr>
            <w:tcW w:w="1020" w:type="dxa"/>
            <w:vAlign w:val="center"/>
          </w:tcPr>
          <w:p>
            <w:pPr>
              <w:spacing w:before="20" w:after="20"/>
              <w:jc w:val="left"/>
            </w:pPr>
            <w:r>
              <w:rPr>
                <w:color w:val="000000"/>
                <w:sz w:val="18"/>
              </w:rPr>
              <w:t>3.0 ms</w:t>
            </w:r>
          </w:p>
        </w:tc>
      </w:tr>
      <w:tr>
        <w:trPr>
          <w:cantSplit/>
        </w:trPr>
        <w:tc>
          <w:tcPr>
            <w:tcW w:w="1474" w:type="dxa"/>
            <w:vAlign w:val="center"/>
          </w:tcPr>
          <w:p>
            <w:pPr>
              <w:spacing w:before="20" w:after="20"/>
              <w:jc w:val="left"/>
            </w:pPr>
            <w:r>
              <w:rPr>
                <w:color w:val="000000"/>
                <w:sz w:val="18"/>
              </w:rPr>
              <w:t>Resting HR</w:t>
            </w:r>
          </w:p>
        </w:tc>
        <w:tc>
          <w:tcPr>
            <w:tcW w:w="2608" w:type="dxa"/>
            <w:vAlign w:val="center"/>
          </w:tcPr>
          <w:p>
            <w:pPr>
              <w:spacing w:before="20" w:after="20"/>
              <w:jc w:val="left"/>
            </w:pPr>
            <w:r>
              <w:rPr>
                <w:color w:val="000000"/>
                <w:sz w:val="18"/>
              </w:rPr>
              <w:t>user_hr.min_hr (daily minimum)</w:t>
            </w:r>
          </w:p>
        </w:tc>
        <w:tc>
          <w:tcPr>
            <w:tcW w:w="1474" w:type="dxa"/>
            <w:vAlign w:val="center"/>
          </w:tcPr>
          <w:p>
            <w:pPr>
              <w:spacing w:before="20" w:after="20"/>
              <w:jc w:val="left"/>
            </w:pPr>
            <w:r>
              <w:rPr>
                <w:color w:val="000000"/>
                <w:sz w:val="18"/>
              </w:rPr>
              <w:t>Physiology (P)</w:t>
            </w:r>
          </w:p>
        </w:tc>
        <w:tc>
          <w:tcPr>
            <w:tcW w:w="680" w:type="dxa"/>
            <w:vAlign w:val="center"/>
          </w:tcPr>
          <w:p>
            <w:pPr>
              <w:spacing w:before="20" w:after="20"/>
              <w:jc w:val="left"/>
            </w:pPr>
            <w:r>
              <w:rPr>
                <w:color w:val="000000"/>
                <w:sz w:val="18"/>
              </w:rPr>
              <w:t>0.25</w:t>
            </w:r>
          </w:p>
        </w:tc>
        <w:tc>
          <w:tcPr>
            <w:tcW w:w="1020" w:type="dxa"/>
            <w:vAlign w:val="center"/>
          </w:tcPr>
          <w:p>
            <w:pPr>
              <w:spacing w:before="20" w:after="20"/>
              <w:jc w:val="left"/>
            </w:pPr>
            <w:r>
              <w:rPr>
                <w:color w:val="000000"/>
                <w:sz w:val="18"/>
              </w:rPr>
              <w:t>high</w:t>
            </w:r>
          </w:p>
        </w:tc>
        <w:tc>
          <w:tcPr>
            <w:tcW w:w="1020" w:type="dxa"/>
            <w:vAlign w:val="center"/>
          </w:tcPr>
          <w:p>
            <w:pPr>
              <w:spacing w:before="20" w:after="20"/>
              <w:jc w:val="left"/>
            </w:pPr>
            <w:r>
              <w:rPr>
                <w:color w:val="000000"/>
                <w:sz w:val="18"/>
              </w:rPr>
              <w:t>1.5 bpm</w:t>
            </w:r>
          </w:p>
        </w:tc>
      </w:tr>
      <w:tr>
        <w:trPr>
          <w:cantSplit/>
        </w:trPr>
        <w:tc>
          <w:tcPr>
            <w:tcW w:w="1474" w:type="dxa"/>
            <w:vAlign w:val="center"/>
          </w:tcPr>
          <w:p>
            <w:pPr>
              <w:spacing w:before="20" w:after="20"/>
              <w:jc w:val="left"/>
            </w:pPr>
            <w:r>
              <w:rPr>
                <w:color w:val="000000"/>
                <w:sz w:val="18"/>
              </w:rPr>
              <w:t>SpO₂</w:t>
            </w:r>
          </w:p>
        </w:tc>
        <w:tc>
          <w:tcPr>
            <w:tcW w:w="2608" w:type="dxa"/>
            <w:vAlign w:val="center"/>
          </w:tcPr>
          <w:p>
            <w:pPr>
              <w:spacing w:before="20" w:after="20"/>
              <w:jc w:val="left"/>
            </w:pPr>
            <w:r>
              <w:rPr>
                <w:color w:val="000000"/>
                <w:sz w:val="18"/>
              </w:rPr>
              <w:t>user_spo2.avg_spo2</w:t>
            </w:r>
          </w:p>
        </w:tc>
        <w:tc>
          <w:tcPr>
            <w:tcW w:w="1474" w:type="dxa"/>
            <w:vAlign w:val="center"/>
          </w:tcPr>
          <w:p>
            <w:pPr>
              <w:spacing w:before="20" w:after="20"/>
              <w:jc w:val="left"/>
            </w:pPr>
            <w:r>
              <w:rPr>
                <w:color w:val="000000"/>
                <w:sz w:val="18"/>
              </w:rPr>
              <w:t>Physiology (P)</w:t>
            </w:r>
          </w:p>
        </w:tc>
        <w:tc>
          <w:tcPr>
            <w:tcW w:w="680" w:type="dxa"/>
            <w:vAlign w:val="center"/>
          </w:tcPr>
          <w:p>
            <w:pPr>
              <w:spacing w:before="20" w:after="20"/>
              <w:jc w:val="left"/>
            </w:pPr>
            <w:r>
              <w:rPr>
                <w:color w:val="000000"/>
                <w:sz w:val="18"/>
              </w:rPr>
              <w:t>0.25</w:t>
            </w:r>
          </w:p>
        </w:tc>
        <w:tc>
          <w:tcPr>
            <w:tcW w:w="1020" w:type="dxa"/>
            <w:vAlign w:val="center"/>
          </w:tcPr>
          <w:p>
            <w:pPr>
              <w:spacing w:before="20" w:after="20"/>
              <w:jc w:val="left"/>
            </w:pPr>
            <w:r>
              <w:rPr>
                <w:color w:val="000000"/>
                <w:sz w:val="18"/>
              </w:rPr>
              <w:t>low</w:t>
            </w:r>
          </w:p>
        </w:tc>
        <w:tc>
          <w:tcPr>
            <w:tcW w:w="1020" w:type="dxa"/>
            <w:vAlign w:val="center"/>
          </w:tcPr>
          <w:p>
            <w:pPr>
              <w:spacing w:before="20" w:after="20"/>
              <w:jc w:val="left"/>
            </w:pPr>
            <w:r>
              <w:rPr>
                <w:color w:val="000000"/>
                <w:sz w:val="18"/>
              </w:rPr>
              <w:t>1.0 %</w:t>
            </w:r>
          </w:p>
        </w:tc>
      </w:tr>
      <w:tr>
        <w:trPr>
          <w:cantSplit/>
        </w:trPr>
        <w:tc>
          <w:tcPr>
            <w:tcW w:w="1474" w:type="dxa"/>
            <w:vAlign w:val="center"/>
          </w:tcPr>
          <w:p>
            <w:pPr>
              <w:spacing w:before="20" w:after="20"/>
              <w:jc w:val="left"/>
            </w:pPr>
            <w:r>
              <w:rPr>
                <w:color w:val="000000"/>
                <w:sz w:val="18"/>
              </w:rPr>
              <w:t>Skin temperature</w:t>
            </w:r>
          </w:p>
        </w:tc>
        <w:tc>
          <w:tcPr>
            <w:tcW w:w="2608" w:type="dxa"/>
            <w:vAlign w:val="center"/>
          </w:tcPr>
          <w:p>
            <w:pPr>
              <w:spacing w:before="20" w:after="20"/>
              <w:jc w:val="left"/>
            </w:pPr>
            <w:r>
              <w:rPr>
                <w:color w:val="000000"/>
                <w:sz w:val="18"/>
              </w:rPr>
              <w:t>user_temp.value_c (daily mean)</w:t>
            </w:r>
          </w:p>
        </w:tc>
        <w:tc>
          <w:tcPr>
            <w:tcW w:w="1474" w:type="dxa"/>
            <w:vAlign w:val="center"/>
          </w:tcPr>
          <w:p>
            <w:pPr>
              <w:spacing w:before="20" w:after="20"/>
              <w:jc w:val="left"/>
            </w:pPr>
            <w:r>
              <w:rPr>
                <w:color w:val="000000"/>
                <w:sz w:val="18"/>
              </w:rPr>
              <w:t>Physiology (P)</w:t>
            </w:r>
          </w:p>
        </w:tc>
        <w:tc>
          <w:tcPr>
            <w:tcW w:w="680" w:type="dxa"/>
            <w:vAlign w:val="center"/>
          </w:tcPr>
          <w:p>
            <w:pPr>
              <w:spacing w:before="20" w:after="20"/>
              <w:jc w:val="left"/>
            </w:pPr>
            <w:r>
              <w:rPr>
                <w:color w:val="000000"/>
                <w:sz w:val="18"/>
              </w:rPr>
              <w:t>0.15</w:t>
            </w:r>
          </w:p>
        </w:tc>
        <w:tc>
          <w:tcPr>
            <w:tcW w:w="1020" w:type="dxa"/>
            <w:vAlign w:val="center"/>
          </w:tcPr>
          <w:p>
            <w:pPr>
              <w:spacing w:before="20" w:after="20"/>
              <w:jc w:val="left"/>
            </w:pPr>
            <w:r>
              <w:rPr>
                <w:color w:val="000000"/>
                <w:sz w:val="18"/>
              </w:rPr>
              <w:t>high</w:t>
            </w:r>
          </w:p>
        </w:tc>
        <w:tc>
          <w:tcPr>
            <w:tcW w:w="1020" w:type="dxa"/>
            <w:vAlign w:val="center"/>
          </w:tcPr>
          <w:p>
            <w:pPr>
              <w:spacing w:before="20" w:after="20"/>
              <w:jc w:val="left"/>
            </w:pPr>
            <w:r>
              <w:rPr>
                <w:color w:val="000000"/>
                <w:sz w:val="18"/>
              </w:rPr>
              <w:t>0.1 °C</w:t>
            </w:r>
          </w:p>
        </w:tc>
      </w:tr>
      <w:tr>
        <w:trPr>
          <w:cantSplit/>
        </w:trPr>
        <w:tc>
          <w:tcPr>
            <w:tcW w:w="1474" w:type="dxa"/>
            <w:vAlign w:val="center"/>
          </w:tcPr>
          <w:p>
            <w:pPr>
              <w:spacing w:before="20" w:after="20"/>
              <w:jc w:val="left"/>
            </w:pPr>
            <w:r>
              <w:rPr>
                <w:color w:val="000000"/>
                <w:sz w:val="18"/>
              </w:rPr>
              <w:t>Sleep duration</w:t>
            </w:r>
          </w:p>
        </w:tc>
        <w:tc>
          <w:tcPr>
            <w:tcW w:w="2608" w:type="dxa"/>
            <w:vAlign w:val="center"/>
          </w:tcPr>
          <w:p>
            <w:pPr>
              <w:spacing w:before="20" w:after="20"/>
              <w:jc w:val="left"/>
            </w:pPr>
            <w:r>
              <w:rPr>
                <w:color w:val="000000"/>
                <w:sz w:val="18"/>
              </w:rPr>
              <w:t>user_sleep.total_duration</w:t>
            </w:r>
          </w:p>
        </w:tc>
        <w:tc>
          <w:tcPr>
            <w:tcW w:w="1474" w:type="dxa"/>
            <w:vAlign w:val="center"/>
          </w:tcPr>
          <w:p>
            <w:pPr>
              <w:spacing w:before="20" w:after="20"/>
              <w:jc w:val="left"/>
            </w:pPr>
            <w:r>
              <w:rPr>
                <w:color w:val="000000"/>
                <w:sz w:val="18"/>
              </w:rPr>
              <w:t>Recovery (RC)</w:t>
            </w:r>
          </w:p>
        </w:tc>
        <w:tc>
          <w:tcPr>
            <w:tcW w:w="680" w:type="dxa"/>
            <w:vAlign w:val="center"/>
          </w:tcPr>
          <w:p>
            <w:pPr>
              <w:spacing w:before="20" w:after="20"/>
              <w:jc w:val="left"/>
            </w:pPr>
            <w:r>
              <w:rPr>
                <w:color w:val="000000"/>
                <w:sz w:val="18"/>
              </w:rPr>
              <w:t>0.40</w:t>
            </w:r>
          </w:p>
        </w:tc>
        <w:tc>
          <w:tcPr>
            <w:tcW w:w="1020" w:type="dxa"/>
            <w:vAlign w:val="center"/>
          </w:tcPr>
          <w:p>
            <w:pPr>
              <w:spacing w:before="20" w:after="20"/>
              <w:jc w:val="left"/>
            </w:pPr>
            <w:r>
              <w:rPr>
                <w:color w:val="000000"/>
                <w:sz w:val="18"/>
              </w:rPr>
              <w:t>low</w:t>
            </w:r>
          </w:p>
        </w:tc>
        <w:tc>
          <w:tcPr>
            <w:tcW w:w="1020" w:type="dxa"/>
            <w:vAlign w:val="center"/>
          </w:tcPr>
          <w:p>
            <w:pPr>
              <w:spacing w:before="20" w:after="20"/>
              <w:jc w:val="left"/>
            </w:pPr>
            <w:r>
              <w:rPr>
                <w:color w:val="000000"/>
                <w:sz w:val="18"/>
              </w:rPr>
              <w:t>20 min</w:t>
            </w:r>
          </w:p>
        </w:tc>
      </w:tr>
      <w:tr>
        <w:trPr>
          <w:cantSplit/>
        </w:trPr>
        <w:tc>
          <w:tcPr>
            <w:tcW w:w="1474" w:type="dxa"/>
            <w:vAlign w:val="center"/>
          </w:tcPr>
          <w:p>
            <w:pPr>
              <w:spacing w:before="20" w:after="20"/>
              <w:jc w:val="left"/>
            </w:pPr>
            <w:r>
              <w:rPr>
                <w:color w:val="000000"/>
                <w:sz w:val="18"/>
              </w:rPr>
              <w:t>Sleep score</w:t>
            </w:r>
          </w:p>
        </w:tc>
        <w:tc>
          <w:tcPr>
            <w:tcW w:w="2608" w:type="dxa"/>
            <w:vAlign w:val="center"/>
          </w:tcPr>
          <w:p>
            <w:pPr>
              <w:spacing w:before="20" w:after="20"/>
              <w:jc w:val="left"/>
            </w:pPr>
            <w:r>
              <w:rPr>
                <w:color w:val="000000"/>
                <w:sz w:val="18"/>
              </w:rPr>
              <w:t>user_sleep.sleep_score</w:t>
            </w:r>
          </w:p>
        </w:tc>
        <w:tc>
          <w:tcPr>
            <w:tcW w:w="1474" w:type="dxa"/>
            <w:vAlign w:val="center"/>
          </w:tcPr>
          <w:p>
            <w:pPr>
              <w:spacing w:before="20" w:after="20"/>
              <w:jc w:val="left"/>
            </w:pPr>
            <w:r>
              <w:rPr>
                <w:color w:val="000000"/>
                <w:sz w:val="18"/>
              </w:rPr>
              <w:t>Recovery (RC)</w:t>
            </w:r>
          </w:p>
        </w:tc>
        <w:tc>
          <w:tcPr>
            <w:tcW w:w="680" w:type="dxa"/>
            <w:vAlign w:val="center"/>
          </w:tcPr>
          <w:p>
            <w:pPr>
              <w:spacing w:before="20" w:after="20"/>
              <w:jc w:val="left"/>
            </w:pPr>
            <w:r>
              <w:rPr>
                <w:color w:val="000000"/>
                <w:sz w:val="18"/>
              </w:rPr>
              <w:t>0.30</w:t>
            </w:r>
          </w:p>
        </w:tc>
        <w:tc>
          <w:tcPr>
            <w:tcW w:w="1020" w:type="dxa"/>
            <w:vAlign w:val="center"/>
          </w:tcPr>
          <w:p>
            <w:pPr>
              <w:spacing w:before="20" w:after="20"/>
              <w:jc w:val="left"/>
            </w:pPr>
            <w:r>
              <w:rPr>
                <w:color w:val="000000"/>
                <w:sz w:val="18"/>
              </w:rPr>
              <w:t>low</w:t>
            </w:r>
          </w:p>
        </w:tc>
        <w:tc>
          <w:tcPr>
            <w:tcW w:w="1020" w:type="dxa"/>
            <w:vAlign w:val="center"/>
          </w:tcPr>
          <w:p>
            <w:pPr>
              <w:spacing w:before="20" w:after="20"/>
              <w:jc w:val="left"/>
            </w:pPr>
            <w:r>
              <w:rPr>
                <w:color w:val="000000"/>
                <w:sz w:val="18"/>
              </w:rPr>
              <w:t>3 points</w:t>
            </w:r>
          </w:p>
        </w:tc>
      </w:tr>
      <w:tr>
        <w:trPr>
          <w:cantSplit/>
        </w:trPr>
        <w:tc>
          <w:tcPr>
            <w:tcW w:w="1474" w:type="dxa"/>
            <w:vAlign w:val="center"/>
          </w:tcPr>
          <w:p>
            <w:pPr>
              <w:spacing w:before="20" w:after="20"/>
              <w:jc w:val="left"/>
            </w:pPr>
            <w:r>
              <w:rPr>
                <w:color w:val="000000"/>
                <w:sz w:val="18"/>
              </w:rPr>
              <w:t>Stress</w:t>
            </w:r>
          </w:p>
        </w:tc>
        <w:tc>
          <w:tcPr>
            <w:tcW w:w="2608" w:type="dxa"/>
            <w:vAlign w:val="center"/>
          </w:tcPr>
          <w:p>
            <w:pPr>
              <w:spacing w:before="20" w:after="20"/>
              <w:jc w:val="left"/>
            </w:pPr>
            <w:r>
              <w:rPr>
                <w:color w:val="000000"/>
                <w:sz w:val="18"/>
              </w:rPr>
              <w:t>user_stress.stress_value (daily mean)</w:t>
            </w:r>
          </w:p>
        </w:tc>
        <w:tc>
          <w:tcPr>
            <w:tcW w:w="1474" w:type="dxa"/>
            <w:vAlign w:val="center"/>
          </w:tcPr>
          <w:p>
            <w:pPr>
              <w:spacing w:before="20" w:after="20"/>
              <w:jc w:val="left"/>
            </w:pPr>
            <w:r>
              <w:rPr>
                <w:color w:val="000000"/>
                <w:sz w:val="18"/>
              </w:rPr>
              <w:t>Recovery (RC)</w:t>
            </w:r>
          </w:p>
        </w:tc>
        <w:tc>
          <w:tcPr>
            <w:tcW w:w="680" w:type="dxa"/>
            <w:vAlign w:val="center"/>
          </w:tcPr>
          <w:p>
            <w:pPr>
              <w:spacing w:before="20" w:after="20"/>
              <w:jc w:val="left"/>
            </w:pPr>
            <w:r>
              <w:rPr>
                <w:color w:val="000000"/>
                <w:sz w:val="18"/>
              </w:rPr>
              <w:t>0.30</w:t>
            </w:r>
          </w:p>
        </w:tc>
        <w:tc>
          <w:tcPr>
            <w:tcW w:w="1020" w:type="dxa"/>
            <w:vAlign w:val="center"/>
          </w:tcPr>
          <w:p>
            <w:pPr>
              <w:spacing w:before="20" w:after="20"/>
              <w:jc w:val="left"/>
            </w:pPr>
            <w:r>
              <w:rPr>
                <w:color w:val="000000"/>
                <w:sz w:val="18"/>
              </w:rPr>
              <w:t>high</w:t>
            </w:r>
          </w:p>
        </w:tc>
        <w:tc>
          <w:tcPr>
            <w:tcW w:w="1020" w:type="dxa"/>
            <w:vAlign w:val="center"/>
          </w:tcPr>
          <w:p>
            <w:pPr>
              <w:spacing w:before="20" w:after="20"/>
              <w:jc w:val="left"/>
            </w:pPr>
            <w:r>
              <w:rPr>
                <w:color w:val="000000"/>
                <w:sz w:val="18"/>
              </w:rPr>
              <w:t>3</w:t>
            </w:r>
          </w:p>
        </w:tc>
      </w:tr>
      <w:tr>
        <w:trPr>
          <w:cantSplit/>
        </w:trPr>
        <w:tc>
          <w:tcPr>
            <w:tcW w:w="1474" w:type="dxa"/>
            <w:vAlign w:val="center"/>
          </w:tcPr>
          <w:p>
            <w:pPr>
              <w:spacing w:before="20" w:after="20"/>
              <w:jc w:val="left"/>
            </w:pPr>
            <w:r>
              <w:rPr>
                <w:color w:val="000000"/>
                <w:sz w:val="18"/>
              </w:rPr>
              <w:t>Daily steps</w:t>
            </w:r>
          </w:p>
        </w:tc>
        <w:tc>
          <w:tcPr>
            <w:tcW w:w="2608" w:type="dxa"/>
            <w:vAlign w:val="center"/>
          </w:tcPr>
          <w:p>
            <w:pPr>
              <w:spacing w:before="20" w:after="20"/>
              <w:jc w:val="left"/>
            </w:pPr>
            <w:r>
              <w:rPr>
                <w:color w:val="000000"/>
                <w:sz w:val="18"/>
              </w:rPr>
              <w:t>user_steps.steps</w:t>
            </w:r>
          </w:p>
        </w:tc>
        <w:tc>
          <w:tcPr>
            <w:tcW w:w="1474" w:type="dxa"/>
            <w:vAlign w:val="center"/>
          </w:tcPr>
          <w:p>
            <w:pPr>
              <w:spacing w:before="20" w:after="20"/>
              <w:jc w:val="left"/>
            </w:pPr>
            <w:r>
              <w:rPr>
                <w:color w:val="000000"/>
                <w:sz w:val="18"/>
              </w:rPr>
              <w:t>Motion (MO)</w:t>
            </w:r>
          </w:p>
        </w:tc>
        <w:tc>
          <w:tcPr>
            <w:tcW w:w="680" w:type="dxa"/>
            <w:vAlign w:val="center"/>
          </w:tcPr>
          <w:p>
            <w:pPr>
              <w:spacing w:before="20" w:after="20"/>
              <w:jc w:val="left"/>
            </w:pPr>
            <w:r>
              <w:rPr>
                <w:color w:val="000000"/>
                <w:sz w:val="18"/>
              </w:rPr>
              <w:t>0.50</w:t>
            </w:r>
          </w:p>
        </w:tc>
        <w:tc>
          <w:tcPr>
            <w:tcW w:w="1020" w:type="dxa"/>
            <w:vAlign w:val="center"/>
          </w:tcPr>
          <w:p>
            <w:pPr>
              <w:spacing w:before="20" w:after="20"/>
              <w:jc w:val="left"/>
            </w:pPr>
            <w:r>
              <w:rPr>
                <w:color w:val="000000"/>
                <w:sz w:val="18"/>
              </w:rPr>
              <w:t>low</w:t>
            </w:r>
          </w:p>
        </w:tc>
        <w:tc>
          <w:tcPr>
            <w:tcW w:w="1020" w:type="dxa"/>
            <w:vAlign w:val="center"/>
          </w:tcPr>
          <w:p>
            <w:pPr>
              <w:spacing w:before="20" w:after="20"/>
              <w:jc w:val="left"/>
            </w:pPr>
            <w:r>
              <w:rPr>
                <w:color w:val="000000"/>
                <w:sz w:val="18"/>
              </w:rPr>
              <w:t>500 steps</w:t>
            </w:r>
          </w:p>
        </w:tc>
      </w:tr>
      <w:tr>
        <w:trPr>
          <w:cantSplit/>
        </w:trPr>
        <w:tc>
          <w:tcPr>
            <w:tcW w:w="1474" w:type="dxa"/>
            <w:vAlign w:val="center"/>
          </w:tcPr>
          <w:p>
            <w:pPr>
              <w:spacing w:before="20" w:after="20"/>
              <w:jc w:val="left"/>
            </w:pPr>
            <w:r>
              <w:rPr>
                <w:color w:val="000000"/>
                <w:sz w:val="18"/>
              </w:rPr>
              <w:t>Near-falls (14 days)</w:t>
            </w:r>
          </w:p>
        </w:tc>
        <w:tc>
          <w:tcPr>
            <w:tcW w:w="2608" w:type="dxa"/>
            <w:vAlign w:val="center"/>
          </w:tcPr>
          <w:p>
            <w:pPr>
              <w:spacing w:before="20" w:after="20"/>
              <w:jc w:val="left"/>
            </w:pPr>
            <w:r>
              <w:rPr>
                <w:color w:val="000000"/>
                <w:sz w:val="18"/>
              </w:rPr>
              <w:t>user_fall_events</w:t>
            </w:r>
          </w:p>
        </w:tc>
        <w:tc>
          <w:tcPr>
            <w:tcW w:w="1474" w:type="dxa"/>
            <w:vAlign w:val="center"/>
          </w:tcPr>
          <w:p>
            <w:pPr>
              <w:spacing w:before="20" w:after="20"/>
              <w:jc w:val="left"/>
            </w:pPr>
            <w:r>
              <w:rPr>
                <w:color w:val="000000"/>
                <w:sz w:val="18"/>
              </w:rPr>
              <w:t>Motion (MO)</w:t>
            </w:r>
          </w:p>
        </w:tc>
        <w:tc>
          <w:tcPr>
            <w:tcW w:w="680" w:type="dxa"/>
            <w:vAlign w:val="center"/>
          </w:tcPr>
          <w:p>
            <w:pPr>
              <w:spacing w:before="20" w:after="20"/>
              <w:jc w:val="left"/>
            </w:pPr>
            <w:r>
              <w:rPr>
                <w:color w:val="000000"/>
                <w:sz w:val="18"/>
              </w:rPr>
              <w:t>0.50</w:t>
            </w:r>
          </w:p>
        </w:tc>
        <w:tc>
          <w:tcPr>
            <w:tcW w:w="1020" w:type="dxa"/>
            <w:vAlign w:val="center"/>
          </w:tcPr>
          <w:p>
            <w:pPr>
              <w:spacing w:before="20" w:after="20"/>
              <w:jc w:val="left"/>
            </w:pPr>
            <w:r>
              <w:rPr>
                <w:color w:val="000000"/>
                <w:sz w:val="18"/>
              </w:rPr>
              <w:t>—</w:t>
            </w:r>
          </w:p>
        </w:tc>
        <w:tc>
          <w:tcPr>
            <w:tcW w:w="1020" w:type="dxa"/>
            <w:vAlign w:val="center"/>
          </w:tcPr>
          <w:p>
            <w:pPr>
              <w:spacing w:before="20" w:after="20"/>
              <w:jc w:val="left"/>
            </w:pPr>
            <w:r>
              <w:rPr>
                <w:color w:val="000000"/>
                <w:sz w:val="18"/>
              </w:rPr>
              <w:t>—</w:t>
            </w:r>
          </w:p>
        </w:tc>
      </w:tr>
      <w:tr>
        <w:trPr>
          <w:cantSplit/>
        </w:trPr>
        <w:tc>
          <w:tcPr>
            <w:tcW w:w="1474" w:type="dxa"/>
            <w:vAlign w:val="center"/>
          </w:tcPr>
          <w:p>
            <w:pPr>
              <w:spacing w:before="20" w:after="20"/>
              <w:jc w:val="left"/>
            </w:pPr>
            <w:r>
              <w:rPr>
                <w:color w:val="000000"/>
                <w:sz w:val="18"/>
              </w:rPr>
              <w:t>Falls (365 days)</w:t>
            </w:r>
          </w:p>
        </w:tc>
        <w:tc>
          <w:tcPr>
            <w:tcW w:w="2608" w:type="dxa"/>
            <w:vAlign w:val="center"/>
          </w:tcPr>
          <w:p>
            <w:pPr>
              <w:spacing w:before="20" w:after="20"/>
              <w:jc w:val="left"/>
            </w:pPr>
            <w:r>
              <w:rPr>
                <w:color w:val="000000"/>
                <w:sz w:val="18"/>
              </w:rPr>
              <w:t>user_fall_events</w:t>
            </w:r>
          </w:p>
        </w:tc>
        <w:tc>
          <w:tcPr>
            <w:tcW w:w="1474" w:type="dxa"/>
            <w:vAlign w:val="center"/>
          </w:tcPr>
          <w:p>
            <w:pPr>
              <w:spacing w:before="20" w:after="20"/>
              <w:jc w:val="left"/>
            </w:pPr>
            <w:r>
              <w:rPr>
                <w:color w:val="000000"/>
                <w:sz w:val="18"/>
              </w:rPr>
              <w:t>Fall history (FH)</w:t>
            </w:r>
          </w:p>
        </w:tc>
        <w:tc>
          <w:tcPr>
            <w:tcW w:w="680" w:type="dxa"/>
            <w:vAlign w:val="center"/>
          </w:tcPr>
          <w:p>
            <w:pPr>
              <w:spacing w:before="20" w:after="20"/>
              <w:jc w:val="left"/>
            </w:pPr>
            <w:r>
              <w:rPr>
                <w:color w:val="000000"/>
                <w:sz w:val="18"/>
              </w:rPr>
              <w:t>—</w:t>
            </w:r>
          </w:p>
        </w:tc>
        <w:tc>
          <w:tcPr>
            <w:tcW w:w="1020" w:type="dxa"/>
            <w:vAlign w:val="center"/>
          </w:tcPr>
          <w:p>
            <w:pPr>
              <w:spacing w:before="20" w:after="20"/>
              <w:jc w:val="left"/>
            </w:pPr>
            <w:r>
              <w:rPr>
                <w:color w:val="000000"/>
                <w:sz w:val="18"/>
              </w:rPr>
              <w:t>—</w:t>
            </w:r>
          </w:p>
        </w:tc>
        <w:tc>
          <w:tcPr>
            <w:tcW w:w="1020" w:type="dxa"/>
            <w:vAlign w:val="center"/>
          </w:tcPr>
          <w:p>
            <w:pPr>
              <w:spacing w:before="20" w:after="20"/>
              <w:jc w:val="left"/>
            </w:pPr>
            <w:r>
              <w:rPr>
                <w:color w:val="000000"/>
                <w:sz w:val="18"/>
              </w:rPr>
              <w:t>—</w:t>
            </w:r>
          </w:p>
        </w:tc>
      </w:tr>
    </w:tbl>
    <w:p>
      <w:pPr>
        <w:spacing w:before="0" w:after="120"/>
      </w:pPr>
    </w:p>
    <w:p>
      <w:pPr>
        <w:keepNext/>
        <w:spacing w:before="200" w:after="80"/>
      </w:pPr>
      <w:r>
        <w:rPr>
          <w:b/>
          <w:color w:val="000000"/>
        </w:rPr>
        <w:t>3.4.2 Personal Robust Baseline</w:t>
      </w:r>
    </w:p>
    <w:p>
      <w:pPr>
        <w:spacing w:after="160" w:line="360" w:lineRule="auto"/>
        <w:ind w:firstLine="0"/>
        <w:jc w:val="both"/>
      </w:pPr>
      <w:r>
        <w:rPr>
          <w:color w:val="000000"/>
        </w:rPr>
        <w:t>For each feature, the current value x</w:t>
      </w:r>
      <w:r>
        <w:rPr>
          <w:vertAlign w:val="subscript"/>
          <w:color w:val="000000"/>
        </w:rPr>
        <w:t>k</w:t>
      </w:r>
      <w:r>
        <w:rPr>
          <w:color w:val="000000"/>
        </w:rPr>
        <w:t xml:space="preserve"> is the most recent non-null value on a date d</w:t>
      </w:r>
      <w:r>
        <w:rPr>
          <w:vertAlign w:val="subscript"/>
          <w:color w:val="000000"/>
        </w:rPr>
        <w:t>k</w:t>
      </w:r>
      <w:r>
        <w:rPr>
          <w:color w:val="000000"/>
        </w:rPr>
        <w:t xml:space="preserve"> ≤ d</w:t>
      </w:r>
      <w:r>
        <w:rPr>
          <w:vertAlign w:val="subscript"/>
          <w:color w:val="000000"/>
        </w:rPr>
        <w:t>0</w:t>
      </w:r>
      <w:r>
        <w:rPr>
          <w:color w:val="000000"/>
        </w:rPr>
        <w:t>. If no value exists or it is more than seven days old, the feature is treated as missing. The baseline history H</w:t>
      </w:r>
      <w:r>
        <w:rPr>
          <w:vertAlign w:val="subscript"/>
          <w:color w:val="000000"/>
        </w:rPr>
        <w:t>k</w:t>
      </w:r>
      <w:r>
        <w:rPr>
          <w:color w:val="000000"/>
        </w:rPr>
        <w:t xml:space="preserve"> is the set of values in the 28 days before d</w:t>
      </w:r>
      <w:r>
        <w:rPr>
          <w:vertAlign w:val="subscript"/>
          <w:color w:val="000000"/>
        </w:rPr>
        <w:t>k</w:t>
      </w:r>
      <w:r>
        <w:rPr>
          <w:color w:val="000000"/>
        </w:rPr>
        <w:t>; at least seven values are required. The baseline centre and spread are computed with the median and the median absolute deviation (MAD), which are robust to outliers such as a single bad night:</w:t>
      </w:r>
    </w:p>
    <w:p>
      <w:pPr>
        <w:tabs>
          <w:tab w:val="center" w:pos="4333"/>
          <w:tab w:val="right" w:pos="8666"/>
        </w:tabs>
        <w:spacing w:before="120" w:after="120"/>
      </w:pPr>
      <w:r>
        <w:tab/>
      </w:r>
      <w:r>
        <w:rPr>
          <w:color w:val="000000"/>
        </w:rPr>
        <w:t>m</w:t>
      </w:r>
      <w:r>
        <w:rPr>
          <w:vertAlign w:val="subscript"/>
          <w:color w:val="000000"/>
        </w:rPr>
        <w:t>k</w:t>
      </w:r>
      <w:r>
        <w:rPr>
          <w:color w:val="000000"/>
        </w:rPr>
        <w:t xml:space="preserve"> = median(H</w:t>
      </w:r>
      <w:r>
        <w:rPr>
          <w:vertAlign w:val="subscript"/>
          <w:color w:val="000000"/>
        </w:rPr>
        <w:t>k</w:t>
      </w:r>
      <w:r>
        <w:rPr>
          <w:color w:val="000000"/>
        </w:rPr>
        <w:t>),    MAD</w:t>
      </w:r>
      <w:r>
        <w:rPr>
          <w:vertAlign w:val="subscript"/>
          <w:color w:val="000000"/>
        </w:rPr>
        <w:t>k</w:t>
      </w:r>
      <w:r>
        <w:rPr>
          <w:color w:val="000000"/>
        </w:rPr>
        <w:t xml:space="preserve"> = median(|h − m</w:t>
      </w:r>
      <w:r>
        <w:rPr>
          <w:vertAlign w:val="subscript"/>
          <w:color w:val="000000"/>
        </w:rPr>
        <w:t>k</w:t>
      </w:r>
      <w:r>
        <w:rPr>
          <w:color w:val="000000"/>
        </w:rPr>
        <w:t>|),  h ∈ H</w:t>
      </w:r>
      <w:r>
        <w:rPr>
          <w:vertAlign w:val="subscript"/>
          <w:color w:val="000000"/>
        </w:rPr>
        <w:t>k</w:t>
      </w:r>
      <w:r>
        <w:tab/>
      </w:r>
      <w:r>
        <w:rPr>
          <w:color w:val="000000"/>
        </w:rPr>
        <w:t>(3.1)</w:t>
      </w:r>
    </w:p>
    <w:p>
      <w:pPr>
        <w:tabs>
          <w:tab w:val="center" w:pos="4333"/>
          <w:tab w:val="right" w:pos="8666"/>
        </w:tabs>
        <w:spacing w:before="120" w:after="120"/>
      </w:pPr>
      <w:r>
        <w:tab/>
      </w:r>
      <w:r>
        <w:rPr>
          <w:color w:val="000000"/>
        </w:rPr>
        <w:t>s</w:t>
      </w:r>
      <w:r>
        <w:rPr>
          <w:vertAlign w:val="subscript"/>
          <w:color w:val="000000"/>
        </w:rPr>
        <w:t>k</w:t>
      </w:r>
      <w:r>
        <w:rPr>
          <w:color w:val="000000"/>
        </w:rPr>
        <w:t xml:space="preserve"> = max(1.4826 · MAD</w:t>
      </w:r>
      <w:r>
        <w:rPr>
          <w:vertAlign w:val="subscript"/>
          <w:color w:val="000000"/>
        </w:rPr>
        <w:t>k</w:t>
      </w:r>
      <w:r>
        <w:rPr>
          <w:color w:val="000000"/>
        </w:rPr>
        <w:t>,  minimum spread</w:t>
      </w:r>
      <w:r>
        <w:rPr>
          <w:vertAlign w:val="subscript"/>
          <w:color w:val="000000"/>
        </w:rPr>
        <w:t>k</w:t>
      </w:r>
      <w:r>
        <w:rPr>
          <w:color w:val="000000"/>
        </w:rPr>
        <w:t>)</w:t>
      </w:r>
      <w:r>
        <w:tab/>
      </w:r>
      <w:r>
        <w:rPr>
          <w:color w:val="000000"/>
        </w:rPr>
        <w:t>(3.2)</w:t>
      </w:r>
    </w:p>
    <w:p>
      <w:pPr>
        <w:spacing w:after="160" w:line="360" w:lineRule="auto"/>
        <w:ind w:firstLine="0"/>
        <w:jc w:val="both"/>
      </w:pPr>
      <w:r>
        <w:rPr>
          <w:color w:val="000000"/>
        </w:rPr>
        <w:t>The factor 1.4826 makes the MAD a consistent estimate of the standard deviation for normally distributed data. Because every user has their own baseline, the engine is personalised without any training.</w:t>
      </w:r>
    </w:p>
    <w:p>
      <w:pPr>
        <w:keepNext/>
        <w:spacing w:before="200" w:after="80"/>
      </w:pPr>
      <w:r>
        <w:rPr>
          <w:b/>
          <w:color w:val="000000"/>
        </w:rPr>
        <w:t>3.4.3 Cycle-Aware Baseline</w:t>
      </w:r>
    </w:p>
    <w:p>
      <w:pPr>
        <w:spacing w:after="160" w:line="360" w:lineRule="auto"/>
        <w:ind w:firstLine="0"/>
        <w:jc w:val="both"/>
      </w:pPr>
      <w:r>
        <w:rPr>
          <w:color w:val="000000"/>
        </w:rPr>
        <w:t>For users whose profile is female and who have logged at least one period, the baselines of HRV, resting heart rate and skin temperature are adjusted to the menstrual-cycle phase. The phase of a date is computed from the latest logged period start: with cycle day c and ovulation day ov = max(cycle length − 14, period length + 2), the phase is menstrual if c ≤ period length, follicular if c &lt; ov − 1, ovulatory if ov − 1 ≤ c ≤ ov + 1, and luteal otherwise. If at least five days in H</w:t>
      </w:r>
      <w:r>
        <w:rPr>
          <w:vertAlign w:val="subscript"/>
          <w:color w:val="000000"/>
        </w:rPr>
        <w:t>k</w:t>
      </w:r>
      <w:r>
        <w:rPr>
          <w:color w:val="000000"/>
        </w:rPr>
        <w:t xml:space="preserve"> share today’s phase, the baseline is computed only from those days (phase-matched). If fewer exist and today is luteal, literature offsets are applied to the ordinary baseline instead: temperature +0.3 °C, resting heart rate +2 bpm and HRV −7% [16], [17]. The engine also recomputes the score without this correction, so the explanation can state exactly what the correction changed.</w:t>
      </w:r>
    </w:p>
    <w:p>
      <w:pPr>
        <w:keepNext/>
        <w:spacing w:before="200" w:after="80"/>
      </w:pPr>
      <w:r>
        <w:rPr>
          <w:b/>
          <w:color w:val="000000"/>
        </w:rPr>
        <w:t>3.4.4 Deviation and Dead-Zone Strain</w:t>
      </w:r>
    </w:p>
    <w:p>
      <w:pPr>
        <w:spacing w:after="160" w:line="360" w:lineRule="auto"/>
        <w:ind w:firstLine="0"/>
        <w:jc w:val="both"/>
      </w:pPr>
      <w:r>
        <w:rPr>
          <w:color w:val="000000"/>
        </w:rPr>
        <w:t>The deviation of today’s value is expressed as a robust z-score, signed so that a positive value always means “worse”:</w:t>
      </w:r>
    </w:p>
    <w:p>
      <w:pPr>
        <w:tabs>
          <w:tab w:val="center" w:pos="4333"/>
          <w:tab w:val="right" w:pos="8666"/>
        </w:tabs>
        <w:spacing w:before="120" w:after="120"/>
      </w:pPr>
      <w:r>
        <w:tab/>
      </w:r>
      <w:r>
        <w:rPr>
          <w:color w:val="000000"/>
        </w:rPr>
        <w:t>z</w:t>
      </w:r>
      <w:r>
        <w:rPr>
          <w:vertAlign w:val="subscript"/>
          <w:color w:val="000000"/>
        </w:rPr>
        <w:t>k</w:t>
      </w:r>
      <w:r>
        <w:rPr>
          <w:color w:val="000000"/>
        </w:rPr>
        <w:t xml:space="preserve"> = (x</w:t>
      </w:r>
      <w:r>
        <w:rPr>
          <w:vertAlign w:val="subscript"/>
          <w:color w:val="000000"/>
        </w:rPr>
        <w:t>k</w:t>
      </w:r>
      <w:r>
        <w:rPr>
          <w:color w:val="000000"/>
        </w:rPr>
        <w:t xml:space="preserve"> − m</w:t>
      </w:r>
      <w:r>
        <w:rPr>
          <w:vertAlign w:val="subscript"/>
          <w:color w:val="000000"/>
        </w:rPr>
        <w:t>k</w:t>
      </w:r>
      <w:r>
        <w:rPr>
          <w:color w:val="000000"/>
        </w:rPr>
        <w:t>) / s</w:t>
      </w:r>
      <w:r>
        <w:rPr>
          <w:vertAlign w:val="subscript"/>
          <w:color w:val="000000"/>
        </w:rPr>
        <w:t>k</w:t>
      </w:r>
      <w:r>
        <w:rPr>
          <w:color w:val="000000"/>
        </w:rPr>
        <w:t>,    z</w:t>
      </w:r>
      <w:r>
        <w:rPr>
          <w:vertAlign w:val="superscript"/>
          <w:color w:val="000000"/>
        </w:rPr>
        <w:t>risk</w:t>
      </w:r>
      <w:r>
        <w:rPr>
          <w:vertAlign w:val="subscript"/>
          <w:color w:val="000000"/>
        </w:rPr>
        <w:t>k</w:t>
      </w:r>
      <w:r>
        <w:rPr>
          <w:color w:val="000000"/>
        </w:rPr>
        <w:t xml:space="preserve"> = −z</w:t>
      </w:r>
      <w:r>
        <w:rPr>
          <w:vertAlign w:val="subscript"/>
          <w:color w:val="000000"/>
        </w:rPr>
        <w:t>k</w:t>
      </w:r>
      <w:r>
        <w:rPr>
          <w:color w:val="000000"/>
        </w:rPr>
        <w:t xml:space="preserve"> if a low value is worse, else z</w:t>
      </w:r>
      <w:r>
        <w:rPr>
          <w:vertAlign w:val="subscript"/>
          <w:color w:val="000000"/>
        </w:rPr>
        <w:t>k</w:t>
      </w:r>
      <w:r>
        <w:tab/>
      </w:r>
      <w:r>
        <w:rPr>
          <w:color w:val="000000"/>
        </w:rPr>
        <w:t>(3.3)</w:t>
      </w:r>
    </w:p>
    <w:p>
      <w:pPr>
        <w:spacing w:after="160" w:line="360" w:lineRule="auto"/>
        <w:ind w:firstLine="0"/>
        <w:jc w:val="both"/>
      </w:pPr>
      <w:r>
        <w:rPr>
          <w:color w:val="000000"/>
        </w:rPr>
        <w:t>The z-score is converted into a strain between 0 and 100 by a dead-zone ramp (Figure 3.5):</w:t>
      </w:r>
    </w:p>
    <w:p>
      <w:pPr>
        <w:tabs>
          <w:tab w:val="center" w:pos="4333"/>
          <w:tab w:val="right" w:pos="8666"/>
        </w:tabs>
        <w:spacing w:before="120" w:after="120"/>
      </w:pPr>
      <w:r>
        <w:tab/>
      </w:r>
      <w:r>
        <w:rPr>
          <w:color w:val="000000"/>
        </w:rPr>
        <w:t>strain</w:t>
      </w:r>
      <w:r>
        <w:rPr>
          <w:vertAlign w:val="subscript"/>
          <w:color w:val="000000"/>
        </w:rPr>
        <w:t>k</w:t>
      </w:r>
      <w:r>
        <w:rPr>
          <w:color w:val="000000"/>
        </w:rPr>
        <w:t xml:space="preserve"> = 100 · clip( (z</w:t>
      </w:r>
      <w:r>
        <w:rPr>
          <w:vertAlign w:val="superscript"/>
          <w:color w:val="000000"/>
        </w:rPr>
        <w:t>risk</w:t>
      </w:r>
      <w:r>
        <w:rPr>
          <w:vertAlign w:val="subscript"/>
          <w:color w:val="000000"/>
        </w:rPr>
        <w:t>k</w:t>
      </w:r>
      <w:r>
        <w:rPr>
          <w:color w:val="000000"/>
        </w:rPr>
        <w:t xml:space="preserve"> − 0.5) / (3.0 − 0.5),  0,  1 )</w:t>
      </w:r>
      <w:r>
        <w:tab/>
      </w:r>
      <w:r>
        <w:rPr>
          <w:color w:val="000000"/>
        </w:rPr>
        <w:t>(3.4)</w:t>
      </w:r>
    </w:p>
    <w:p>
      <w:pPr>
        <w:spacing w:after="160" w:line="360" w:lineRule="auto"/>
        <w:ind w:firstLine="0"/>
        <w:jc w:val="both"/>
      </w:pPr>
      <w:r>
        <w:rPr>
          <w:color w:val="000000"/>
        </w:rPr>
        <w:t>Deviations smaller than 0.5 robust standard deviations are treated as ordinary day-to-day noise and add no risk; strain grows linearly and saturates at three standard deviations. For SpO₂ an absolute safety floor is added, because a low saturation is concerning regardless of the personal baseline: if x &lt; 95%, strain = max(strain, min(100, (95 − x)/5 · 100)).</w:t>
      </w:r>
    </w:p>
    <w:p>
      <w:pPr>
        <w:keepNext/>
        <w:spacing w:before="160" w:after="60"/>
        <w:jc w:val="center"/>
      </w:pPr>
      <w:r>
        <w:drawing>
          <wp:inline xmlns:a="http://schemas.openxmlformats.org/drawingml/2006/main" xmlns:pic="http://schemas.openxmlformats.org/drawingml/2006/picture">
            <wp:extent cx="3960000" cy="2103750"/>
            <wp:docPr id="854119968" name="Picture 854119968"/>
            <wp:cNvGraphicFramePr>
              <a:graphicFrameLocks noChangeAspect="1"/>
            </wp:cNvGraphicFramePr>
            <a:graphic>
              <a:graphicData uri="http://schemas.openxmlformats.org/drawingml/2006/picture">
                <pic:pic>
                  <pic:nvPicPr>
                    <pic:cNvPr id="0" name="strain_function.png"/>
                    <pic:cNvPicPr/>
                  </pic:nvPicPr>
                  <pic:blipFill>
                    <a:blip r:embed="rId17"/>
                    <a:stretch>
                      <a:fillRect/>
                    </a:stretch>
                  </pic:blipFill>
                  <pic:spPr>
                    <a:xfrm>
                      <a:off x="0" y="0"/>
                      <a:ext cx="3960000" cy="2103750"/>
                    </a:xfrm>
                    <a:prstGeom prst="rect"/>
                  </pic:spPr>
                </pic:pic>
              </a:graphicData>
            </a:graphic>
          </wp:inline>
        </w:drawing>
      </w:r>
    </w:p>
    <w:p>
      <w:pPr>
        <w:keepLines/>
        <w:spacing w:before="60" w:after="240"/>
        <w:jc w:val="center"/>
      </w:pPr>
      <w:r>
        <w:rPr>
          <w:i/>
          <w:color w:val="000000"/>
          <w:sz w:val="22"/>
        </w:rPr>
        <w:t>Figure 3.5: Dead-zone mapping from deviation to strain</w:t>
      </w:r>
    </w:p>
    <w:p>
      <w:pPr>
        <w:keepNext/>
        <w:spacing w:before="200" w:after="80"/>
      </w:pPr>
      <w:r>
        <w:rPr>
          <w:b/>
          <w:color w:val="000000"/>
        </w:rPr>
        <w:t>3.4.5 Fall Events</w:t>
      </w:r>
    </w:p>
    <w:p>
      <w:pPr>
        <w:spacing w:after="160" w:line="360" w:lineRule="auto"/>
        <w:ind w:firstLine="0"/>
        <w:jc w:val="both"/>
      </w:pPr>
      <w:r>
        <w:rPr>
          <w:color w:val="000000"/>
        </w:rPr>
        <w:t>Fall events are read from user_fall_events. A fall that the user cancelled counts as a near-fall. The number of near-falls in the last 14 days, N</w:t>
      </w:r>
      <w:r>
        <w:rPr>
          <w:vertAlign w:val="subscript"/>
          <w:color w:val="000000"/>
        </w:rPr>
        <w:t>14</w:t>
      </w:r>
      <w:r>
        <w:rPr>
          <w:color w:val="000000"/>
        </w:rPr>
        <w:t>, gives a near-fall strain of min(100, 50 · N</w:t>
      </w:r>
      <w:r>
        <w:rPr>
          <w:vertAlign w:val="subscript"/>
          <w:color w:val="000000"/>
        </w:rPr>
        <w:t>14</w:t>
      </w:r>
      <w:r>
        <w:rPr>
          <w:color w:val="000000"/>
        </w:rPr>
        <w:t>), which forms half of the Motion layer. The number of uncancelled falls in the last 365 days gives the fall-history risk: 0 for no falls, 60 for one fall and 100 for two or more.</w:t>
      </w:r>
    </w:p>
    <w:p>
      <w:pPr>
        <w:keepNext/>
        <w:spacing w:before="200" w:after="80"/>
      </w:pPr>
      <w:r>
        <w:rPr>
          <w:b/>
          <w:color w:val="000000"/>
        </w:rPr>
        <w:t>3.4.6 Layer Aggregation</w:t>
      </w:r>
    </w:p>
    <w:p>
      <w:pPr>
        <w:spacing w:after="160" w:line="360" w:lineRule="auto"/>
        <w:ind w:firstLine="0"/>
        <w:jc w:val="both"/>
      </w:pPr>
      <w:r>
        <w:rPr>
          <w:color w:val="000000"/>
        </w:rPr>
        <w:t>For each measurement layer L, let p</w:t>
      </w:r>
      <w:r>
        <w:rPr>
          <w:vertAlign w:val="subscript"/>
          <w:color w:val="000000"/>
        </w:rPr>
        <w:t>L</w:t>
      </w:r>
      <w:r>
        <w:rPr>
          <w:color w:val="000000"/>
        </w:rPr>
        <w:t xml:space="preserve"> be the sum of the weights of the features that are present (for the Motion layer the near-fall component is always present). The layer risk is the weighted mean strain of its present features, and the layer coverage is the share of its weight that is present:</w:t>
      </w:r>
    </w:p>
    <w:p>
      <w:pPr>
        <w:tabs>
          <w:tab w:val="center" w:pos="4333"/>
          <w:tab w:val="right" w:pos="8666"/>
        </w:tabs>
        <w:spacing w:before="120" w:after="120"/>
      </w:pPr>
      <w:r>
        <w:tab/>
      </w:r>
      <w:r>
        <w:rPr>
          <w:color w:val="000000"/>
        </w:rPr>
        <w:t>R</w:t>
      </w:r>
      <w:r>
        <w:rPr>
          <w:vertAlign w:val="subscript"/>
          <w:color w:val="000000"/>
        </w:rPr>
        <w:t>L</w:t>
      </w:r>
      <w:r>
        <w:rPr>
          <w:color w:val="000000"/>
        </w:rPr>
        <w:t xml:space="preserve"> = Σ</w:t>
      </w:r>
      <w:r>
        <w:rPr>
          <w:vertAlign w:val="subscript"/>
          <w:color w:val="000000"/>
        </w:rPr>
        <w:t>k∈L, present</w:t>
      </w:r>
      <w:r>
        <w:rPr>
          <w:color w:val="000000"/>
        </w:rPr>
        <w:t xml:space="preserve"> w</w:t>
      </w:r>
      <w:r>
        <w:rPr>
          <w:vertAlign w:val="subscript"/>
          <w:color w:val="000000"/>
        </w:rPr>
        <w:t>k</w:t>
      </w:r>
      <w:r>
        <w:rPr>
          <w:color w:val="000000"/>
        </w:rPr>
        <w:t xml:space="preserve"> · strain</w:t>
      </w:r>
      <w:r>
        <w:rPr>
          <w:vertAlign w:val="subscript"/>
          <w:color w:val="000000"/>
        </w:rPr>
        <w:t>k</w:t>
      </w:r>
      <w:r>
        <w:rPr>
          <w:color w:val="000000"/>
        </w:rPr>
        <w:t xml:space="preserve"> / p</w:t>
      </w:r>
      <w:r>
        <w:rPr>
          <w:vertAlign w:val="subscript"/>
          <w:color w:val="000000"/>
        </w:rPr>
        <w:t>L</w:t>
      </w:r>
      <w:r>
        <w:rPr>
          <w:color w:val="000000"/>
        </w:rPr>
        <w:t>,        c</w:t>
      </w:r>
      <w:r>
        <w:rPr>
          <w:vertAlign w:val="subscript"/>
          <w:color w:val="000000"/>
        </w:rPr>
        <w:t>L</w:t>
      </w:r>
      <w:r>
        <w:rPr>
          <w:color w:val="000000"/>
        </w:rPr>
        <w:t xml:space="preserve"> = p</w:t>
      </w:r>
      <w:r>
        <w:rPr>
          <w:vertAlign w:val="subscript"/>
          <w:color w:val="000000"/>
        </w:rPr>
        <w:t>L</w:t>
      </w:r>
      <w:r>
        <w:rPr>
          <w:color w:val="000000"/>
        </w:rPr>
        <w:t xml:space="preserve"> / Σ</w:t>
      </w:r>
      <w:r>
        <w:rPr>
          <w:vertAlign w:val="subscript"/>
          <w:color w:val="000000"/>
        </w:rPr>
        <w:t>k∈L</w:t>
      </w:r>
      <w:r>
        <w:rPr>
          <w:color w:val="000000"/>
        </w:rPr>
        <w:t xml:space="preserve"> w</w:t>
      </w:r>
      <w:r>
        <w:rPr>
          <w:vertAlign w:val="subscript"/>
          <w:color w:val="000000"/>
        </w:rPr>
        <w:t>k</w:t>
      </w:r>
      <w:r>
        <w:tab/>
      </w:r>
      <w:r>
        <w:rPr>
          <w:color w:val="000000"/>
        </w:rPr>
        <w:t>(3.5)</w:t>
      </w:r>
    </w:p>
    <w:p>
      <w:pPr>
        <w:keepNext/>
        <w:spacing w:before="200" w:after="80"/>
      </w:pPr>
      <w:r>
        <w:rPr>
          <w:b/>
          <w:color w:val="000000"/>
        </w:rPr>
        <w:t>3.4.7 Evidence-Derived Layer Weights</w:t>
      </w:r>
    </w:p>
    <w:p>
      <w:pPr>
        <w:spacing w:after="160" w:line="360" w:lineRule="auto"/>
        <w:ind w:firstLine="0"/>
        <w:jc w:val="both"/>
      </w:pPr>
      <w:r>
        <w:rPr>
          <w:color w:val="000000"/>
        </w:rPr>
        <w:t>The four layers are combined with weights λ</w:t>
      </w:r>
      <w:r>
        <w:rPr>
          <w:vertAlign w:val="subscript"/>
          <w:color w:val="000000"/>
        </w:rPr>
        <w:t>L</w:t>
      </w:r>
      <w:r>
        <w:rPr>
          <w:color w:val="000000"/>
        </w:rPr>
        <w:t xml:space="preserve"> derived from published effect sizes rather than tuned by hand. Each layer is mapped to the clinical risk factor it measures, and the weight is the natural logarithm of that factor’s odds or risk ratio, normalised to sum to one:</w:t>
      </w:r>
    </w:p>
    <w:p>
      <w:pPr>
        <w:tabs>
          <w:tab w:val="center" w:pos="4333"/>
          <w:tab w:val="right" w:pos="8666"/>
        </w:tabs>
        <w:spacing w:before="120" w:after="120"/>
      </w:pPr>
      <w:r>
        <w:tab/>
      </w:r>
      <w:r>
        <w:rPr>
          <w:color w:val="000000"/>
        </w:rPr>
        <w:t>λ</w:t>
      </w:r>
      <w:r>
        <w:rPr>
          <w:vertAlign w:val="subscript"/>
          <w:color w:val="000000"/>
        </w:rPr>
        <w:t>L</w:t>
      </w:r>
      <w:r>
        <w:rPr>
          <w:color w:val="000000"/>
        </w:rPr>
        <w:t xml:space="preserve"> = ln(OR</w:t>
      </w:r>
      <w:r>
        <w:rPr>
          <w:vertAlign w:val="subscript"/>
          <w:color w:val="000000"/>
        </w:rPr>
        <w:t>L</w:t>
      </w:r>
      <w:r>
        <w:rPr>
          <w:color w:val="000000"/>
        </w:rPr>
        <w:t>) / Σ</w:t>
      </w:r>
      <w:r>
        <w:rPr>
          <w:vertAlign w:val="subscript"/>
          <w:color w:val="000000"/>
        </w:rPr>
        <w:t>j</w:t>
      </w:r>
      <w:r>
        <w:rPr>
          <w:color w:val="000000"/>
        </w:rPr>
        <w:t xml:space="preserve"> ln(OR</w:t>
      </w:r>
      <w:r>
        <w:rPr>
          <w:vertAlign w:val="subscript"/>
          <w:color w:val="000000"/>
        </w:rPr>
        <w:t>j</w:t>
      </w:r>
      <w:r>
        <w:rPr>
          <w:color w:val="000000"/>
        </w:rPr>
        <w:t>)</w:t>
      </w:r>
      <w:r>
        <w:tab/>
      </w:r>
      <w:r>
        <w:rPr>
          <w:color w:val="000000"/>
        </w:rPr>
        <w:t>(3.6)</w:t>
      </w:r>
    </w:p>
    <w:p>
      <w:pPr>
        <w:keepNext/>
        <w:spacing w:before="200" w:after="80"/>
        <w:jc w:val="center"/>
      </w:pPr>
      <w:r>
        <w:rPr>
          <w:i/>
          <w:color w:val="000000"/>
          <w:sz w:val="22"/>
        </w:rPr>
        <w:t>Table 3.4: Evidence-derived layer weights</w:t>
      </w:r>
    </w:p>
    <w:tbl>
      <w:tblPr>
        <w:tblStyle w:val="TableGrid"/>
        <w:tblW w:w="8164" w:type="dxa"/>
        <w:jc w:val="center"/>
        <w:tblLayout w:type="fixed"/>
        <w:tblLook w:firstColumn="1" w:firstRow="1" w:lastColumn="0" w:lastRow="0" w:noHBand="0" w:noVBand="1" w:val="04A0"/>
      </w:tblPr>
      <w:tblGrid>
        <w:gridCol w:w="1474"/>
        <w:gridCol w:w="2041"/>
        <w:gridCol w:w="1927"/>
        <w:gridCol w:w="1134"/>
        <w:gridCol w:w="793"/>
        <w:gridCol w:w="793"/>
      </w:tblGrid>
      <w:tr>
        <w:trPr>
          <w:cantSplit/>
          <w:tblHeader/>
        </w:trPr>
        <w:tc>
          <w:tcPr>
            <w:tcW w:w="1474" w:type="dxa"/>
            <w:shd w:val="clear" w:color="auto" w:fill="E7E6E6"/>
            <w:vAlign w:val="center"/>
          </w:tcPr>
          <w:p>
            <w:pPr>
              <w:spacing w:before="20" w:after="20"/>
              <w:jc w:val="center"/>
            </w:pPr>
            <w:r>
              <w:rPr>
                <w:b/>
                <w:color w:val="000000"/>
                <w:sz w:val="19"/>
              </w:rPr>
              <w:t>Layer</w:t>
            </w:r>
          </w:p>
        </w:tc>
        <w:tc>
          <w:tcPr>
            <w:tcW w:w="2041" w:type="dxa"/>
            <w:shd w:val="clear" w:color="auto" w:fill="E7E6E6"/>
            <w:vAlign w:val="center"/>
          </w:tcPr>
          <w:p>
            <w:pPr>
              <w:spacing w:before="20" w:after="20"/>
              <w:jc w:val="center"/>
            </w:pPr>
            <w:r>
              <w:rPr>
                <w:b/>
                <w:color w:val="000000"/>
                <w:sz w:val="19"/>
              </w:rPr>
              <w:t>Clinical risk factor</w:t>
            </w:r>
          </w:p>
        </w:tc>
        <w:tc>
          <w:tcPr>
            <w:tcW w:w="1927" w:type="dxa"/>
            <w:shd w:val="clear" w:color="auto" w:fill="E7E6E6"/>
            <w:vAlign w:val="center"/>
          </w:tcPr>
          <w:p>
            <w:pPr>
              <w:spacing w:before="20" w:after="20"/>
              <w:jc w:val="center"/>
            </w:pPr>
            <w:r>
              <w:rPr>
                <w:b/>
                <w:color w:val="000000"/>
                <w:sz w:val="19"/>
              </w:rPr>
              <w:t>Source</w:t>
            </w:r>
          </w:p>
        </w:tc>
        <w:tc>
          <w:tcPr>
            <w:tcW w:w="1134" w:type="dxa"/>
            <w:shd w:val="clear" w:color="auto" w:fill="E7E6E6"/>
            <w:vAlign w:val="center"/>
          </w:tcPr>
          <w:p>
            <w:pPr>
              <w:spacing w:before="20" w:after="20"/>
              <w:jc w:val="center"/>
            </w:pPr>
            <w:r>
              <w:rPr>
                <w:b/>
                <w:color w:val="000000"/>
                <w:sz w:val="19"/>
              </w:rPr>
              <w:t>Effect size</w:t>
            </w:r>
          </w:p>
        </w:tc>
        <w:tc>
          <w:tcPr>
            <w:tcW w:w="793" w:type="dxa"/>
            <w:shd w:val="clear" w:color="auto" w:fill="E7E6E6"/>
            <w:vAlign w:val="center"/>
          </w:tcPr>
          <w:p>
            <w:pPr>
              <w:spacing w:before="20" w:after="20"/>
              <w:jc w:val="center"/>
            </w:pPr>
            <w:r>
              <w:rPr>
                <w:b/>
                <w:color w:val="000000"/>
                <w:sz w:val="19"/>
              </w:rPr>
              <w:t>ln</w:t>
            </w:r>
          </w:p>
        </w:tc>
        <w:tc>
          <w:tcPr>
            <w:tcW w:w="793" w:type="dxa"/>
            <w:shd w:val="clear" w:color="auto" w:fill="E7E6E6"/>
            <w:vAlign w:val="center"/>
          </w:tcPr>
          <w:p>
            <w:pPr>
              <w:spacing w:before="20" w:after="20"/>
              <w:jc w:val="center"/>
            </w:pPr>
            <w:r>
              <w:rPr>
                <w:b/>
                <w:color w:val="000000"/>
                <w:sz w:val="19"/>
              </w:rPr>
              <w:t>λ</w:t>
            </w:r>
          </w:p>
        </w:tc>
      </w:tr>
      <w:tr>
        <w:trPr>
          <w:cantSplit/>
        </w:trPr>
        <w:tc>
          <w:tcPr>
            <w:tcW w:w="1474" w:type="dxa"/>
            <w:vAlign w:val="center"/>
          </w:tcPr>
          <w:p>
            <w:pPr>
              <w:spacing w:before="20" w:after="20"/>
              <w:jc w:val="left"/>
            </w:pPr>
            <w:r>
              <w:rPr>
                <w:color w:val="000000"/>
                <w:sz w:val="19"/>
              </w:rPr>
              <w:t>Fall history</w:t>
            </w:r>
          </w:p>
        </w:tc>
        <w:tc>
          <w:tcPr>
            <w:tcW w:w="2041" w:type="dxa"/>
            <w:vAlign w:val="center"/>
          </w:tcPr>
          <w:p>
            <w:pPr>
              <w:spacing w:before="20" w:after="20"/>
              <w:jc w:val="left"/>
            </w:pPr>
            <w:r>
              <w:rPr>
                <w:color w:val="000000"/>
                <w:sz w:val="19"/>
              </w:rPr>
              <w:t>Previous falls</w:t>
            </w:r>
          </w:p>
        </w:tc>
        <w:tc>
          <w:tcPr>
            <w:tcW w:w="1927" w:type="dxa"/>
            <w:vAlign w:val="center"/>
          </w:tcPr>
          <w:p>
            <w:pPr>
              <w:spacing w:before="20" w:after="20"/>
              <w:jc w:val="left"/>
            </w:pPr>
            <w:r>
              <w:rPr>
                <w:color w:val="000000"/>
                <w:sz w:val="19"/>
              </w:rPr>
              <w:t>Deandrea et al. [11]</w:t>
            </w:r>
          </w:p>
        </w:tc>
        <w:tc>
          <w:tcPr>
            <w:tcW w:w="1134" w:type="dxa"/>
            <w:vAlign w:val="center"/>
          </w:tcPr>
          <w:p>
            <w:pPr>
              <w:spacing w:before="20" w:after="20"/>
              <w:jc w:val="center"/>
            </w:pPr>
            <w:r>
              <w:rPr>
                <w:color w:val="000000"/>
                <w:sz w:val="19"/>
              </w:rPr>
              <w:t>OR 2.8</w:t>
            </w:r>
          </w:p>
        </w:tc>
        <w:tc>
          <w:tcPr>
            <w:tcW w:w="793" w:type="dxa"/>
            <w:vAlign w:val="center"/>
          </w:tcPr>
          <w:p>
            <w:pPr>
              <w:spacing w:before="20" w:after="20"/>
              <w:jc w:val="center"/>
            </w:pPr>
            <w:r>
              <w:rPr>
                <w:color w:val="000000"/>
                <w:sz w:val="19"/>
              </w:rPr>
              <w:t>1.030</w:t>
            </w:r>
          </w:p>
        </w:tc>
        <w:tc>
          <w:tcPr>
            <w:tcW w:w="793" w:type="dxa"/>
            <w:vAlign w:val="center"/>
          </w:tcPr>
          <w:p>
            <w:pPr>
              <w:spacing w:before="20" w:after="20"/>
              <w:jc w:val="center"/>
            </w:pPr>
            <w:r>
              <w:rPr>
                <w:color w:val="000000"/>
                <w:sz w:val="19"/>
              </w:rPr>
              <w:t>0.402</w:t>
            </w:r>
          </w:p>
        </w:tc>
      </w:tr>
      <w:tr>
        <w:trPr>
          <w:cantSplit/>
        </w:trPr>
        <w:tc>
          <w:tcPr>
            <w:tcW w:w="1474" w:type="dxa"/>
            <w:vAlign w:val="center"/>
          </w:tcPr>
          <w:p>
            <w:pPr>
              <w:spacing w:before="20" w:after="20"/>
              <w:jc w:val="left"/>
            </w:pPr>
            <w:r>
              <w:rPr>
                <w:color w:val="000000"/>
                <w:sz w:val="19"/>
              </w:rPr>
              <w:t>Motion</w:t>
            </w:r>
          </w:p>
        </w:tc>
        <w:tc>
          <w:tcPr>
            <w:tcW w:w="2041" w:type="dxa"/>
            <w:vAlign w:val="center"/>
          </w:tcPr>
          <w:p>
            <w:pPr>
              <w:spacing w:before="20" w:after="20"/>
              <w:jc w:val="left"/>
            </w:pPr>
            <w:r>
              <w:rPr>
                <w:color w:val="000000"/>
                <w:sz w:val="19"/>
              </w:rPr>
              <w:t>Gait problems</w:t>
            </w:r>
          </w:p>
        </w:tc>
        <w:tc>
          <w:tcPr>
            <w:tcW w:w="1927" w:type="dxa"/>
            <w:vAlign w:val="center"/>
          </w:tcPr>
          <w:p>
            <w:pPr>
              <w:spacing w:before="20" w:after="20"/>
              <w:jc w:val="left"/>
            </w:pPr>
            <w:r>
              <w:rPr>
                <w:color w:val="000000"/>
                <w:sz w:val="19"/>
              </w:rPr>
              <w:t>Deandrea et al. [11]</w:t>
            </w:r>
          </w:p>
        </w:tc>
        <w:tc>
          <w:tcPr>
            <w:tcW w:w="1134" w:type="dxa"/>
            <w:vAlign w:val="center"/>
          </w:tcPr>
          <w:p>
            <w:pPr>
              <w:spacing w:before="20" w:after="20"/>
              <w:jc w:val="center"/>
            </w:pPr>
            <w:r>
              <w:rPr>
                <w:color w:val="000000"/>
                <w:sz w:val="19"/>
              </w:rPr>
              <w:t>OR 2.1</w:t>
            </w:r>
          </w:p>
        </w:tc>
        <w:tc>
          <w:tcPr>
            <w:tcW w:w="793" w:type="dxa"/>
            <w:vAlign w:val="center"/>
          </w:tcPr>
          <w:p>
            <w:pPr>
              <w:spacing w:before="20" w:after="20"/>
              <w:jc w:val="center"/>
            </w:pPr>
            <w:r>
              <w:rPr>
                <w:color w:val="000000"/>
                <w:sz w:val="19"/>
              </w:rPr>
              <w:t>0.742</w:t>
            </w:r>
          </w:p>
        </w:tc>
        <w:tc>
          <w:tcPr>
            <w:tcW w:w="793" w:type="dxa"/>
            <w:vAlign w:val="center"/>
          </w:tcPr>
          <w:p>
            <w:pPr>
              <w:spacing w:before="20" w:after="20"/>
              <w:jc w:val="center"/>
            </w:pPr>
            <w:r>
              <w:rPr>
                <w:color w:val="000000"/>
                <w:sz w:val="19"/>
              </w:rPr>
              <w:t>0.290</w:t>
            </w:r>
          </w:p>
        </w:tc>
      </w:tr>
      <w:tr>
        <w:trPr>
          <w:cantSplit/>
        </w:trPr>
        <w:tc>
          <w:tcPr>
            <w:tcW w:w="1474" w:type="dxa"/>
            <w:vAlign w:val="center"/>
          </w:tcPr>
          <w:p>
            <w:pPr>
              <w:spacing w:before="20" w:after="20"/>
              <w:jc w:val="left"/>
            </w:pPr>
            <w:r>
              <w:rPr>
                <w:color w:val="000000"/>
                <w:sz w:val="19"/>
              </w:rPr>
              <w:t>Physiology</w:t>
            </w:r>
          </w:p>
        </w:tc>
        <w:tc>
          <w:tcPr>
            <w:tcW w:w="2041" w:type="dxa"/>
            <w:vAlign w:val="center"/>
          </w:tcPr>
          <w:p>
            <w:pPr>
              <w:spacing w:before="20" w:after="20"/>
              <w:jc w:val="left"/>
            </w:pPr>
            <w:r>
              <w:rPr>
                <w:color w:val="000000"/>
                <w:sz w:val="19"/>
              </w:rPr>
              <w:t>Orthostatic hypotension</w:t>
            </w:r>
          </w:p>
        </w:tc>
        <w:tc>
          <w:tcPr>
            <w:tcW w:w="1927" w:type="dxa"/>
            <w:vAlign w:val="center"/>
          </w:tcPr>
          <w:p>
            <w:pPr>
              <w:spacing w:before="20" w:after="20"/>
              <w:jc w:val="left"/>
            </w:pPr>
            <w:r>
              <w:rPr>
                <w:color w:val="000000"/>
                <w:sz w:val="19"/>
              </w:rPr>
              <w:t>Mol et al. [13]</w:t>
            </w:r>
          </w:p>
        </w:tc>
        <w:tc>
          <w:tcPr>
            <w:tcW w:w="1134" w:type="dxa"/>
            <w:vAlign w:val="center"/>
          </w:tcPr>
          <w:p>
            <w:pPr>
              <w:spacing w:before="20" w:after="20"/>
              <w:jc w:val="center"/>
            </w:pPr>
            <w:r>
              <w:rPr>
                <w:color w:val="000000"/>
                <w:sz w:val="19"/>
              </w:rPr>
              <w:t>OR 1.73</w:t>
            </w:r>
          </w:p>
        </w:tc>
        <w:tc>
          <w:tcPr>
            <w:tcW w:w="793" w:type="dxa"/>
            <w:vAlign w:val="center"/>
          </w:tcPr>
          <w:p>
            <w:pPr>
              <w:spacing w:before="20" w:after="20"/>
              <w:jc w:val="center"/>
            </w:pPr>
            <w:r>
              <w:rPr>
                <w:color w:val="000000"/>
                <w:sz w:val="19"/>
              </w:rPr>
              <w:t>0.548</w:t>
            </w:r>
          </w:p>
        </w:tc>
        <w:tc>
          <w:tcPr>
            <w:tcW w:w="793" w:type="dxa"/>
            <w:vAlign w:val="center"/>
          </w:tcPr>
          <w:p>
            <w:pPr>
              <w:spacing w:before="20" w:after="20"/>
              <w:jc w:val="center"/>
            </w:pPr>
            <w:r>
              <w:rPr>
                <w:color w:val="000000"/>
                <w:sz w:val="19"/>
              </w:rPr>
              <w:t>0.214</w:t>
            </w:r>
          </w:p>
        </w:tc>
      </w:tr>
      <w:tr>
        <w:trPr>
          <w:cantSplit/>
        </w:trPr>
        <w:tc>
          <w:tcPr>
            <w:tcW w:w="1474" w:type="dxa"/>
            <w:vAlign w:val="center"/>
          </w:tcPr>
          <w:p>
            <w:pPr>
              <w:spacing w:before="20" w:after="20"/>
              <w:jc w:val="left"/>
            </w:pPr>
            <w:r>
              <w:rPr>
                <w:color w:val="000000"/>
                <w:sz w:val="19"/>
              </w:rPr>
              <w:t>Recovery</w:t>
            </w:r>
          </w:p>
        </w:tc>
        <w:tc>
          <w:tcPr>
            <w:tcW w:w="2041" w:type="dxa"/>
            <w:vAlign w:val="center"/>
          </w:tcPr>
          <w:p>
            <w:pPr>
              <w:spacing w:before="20" w:after="20"/>
              <w:jc w:val="left"/>
            </w:pPr>
            <w:r>
              <w:rPr>
                <w:color w:val="000000"/>
                <w:sz w:val="19"/>
              </w:rPr>
              <w:t>Poor sleep</w:t>
            </w:r>
          </w:p>
        </w:tc>
        <w:tc>
          <w:tcPr>
            <w:tcW w:w="1927" w:type="dxa"/>
            <w:vAlign w:val="center"/>
          </w:tcPr>
          <w:p>
            <w:pPr>
              <w:spacing w:before="20" w:after="20"/>
              <w:jc w:val="left"/>
            </w:pPr>
            <w:r>
              <w:rPr>
                <w:color w:val="000000"/>
                <w:sz w:val="19"/>
              </w:rPr>
              <w:t>Baker et al. [14]</w:t>
            </w:r>
          </w:p>
        </w:tc>
        <w:tc>
          <w:tcPr>
            <w:tcW w:w="1134" w:type="dxa"/>
            <w:vAlign w:val="center"/>
          </w:tcPr>
          <w:p>
            <w:pPr>
              <w:spacing w:before="20" w:after="20"/>
              <w:jc w:val="center"/>
            </w:pPr>
            <w:r>
              <w:rPr>
                <w:color w:val="000000"/>
                <w:sz w:val="19"/>
              </w:rPr>
              <w:t>RR 1.27</w:t>
            </w:r>
          </w:p>
        </w:tc>
        <w:tc>
          <w:tcPr>
            <w:tcW w:w="793" w:type="dxa"/>
            <w:vAlign w:val="center"/>
          </w:tcPr>
          <w:p>
            <w:pPr>
              <w:spacing w:before="20" w:after="20"/>
              <w:jc w:val="center"/>
            </w:pPr>
            <w:r>
              <w:rPr>
                <w:color w:val="000000"/>
                <w:sz w:val="19"/>
              </w:rPr>
              <w:t>0.239</w:t>
            </w:r>
          </w:p>
        </w:tc>
        <w:tc>
          <w:tcPr>
            <w:tcW w:w="793" w:type="dxa"/>
            <w:vAlign w:val="center"/>
          </w:tcPr>
          <w:p>
            <w:pPr>
              <w:spacing w:before="20" w:after="20"/>
              <w:jc w:val="center"/>
            </w:pPr>
            <w:r>
              <w:rPr>
                <w:color w:val="000000"/>
                <w:sz w:val="19"/>
              </w:rPr>
              <w:t>0.093</w:t>
            </w:r>
          </w:p>
        </w:tc>
      </w:tr>
      <w:tr>
        <w:trPr>
          <w:cantSplit/>
        </w:trPr>
        <w:tc>
          <w:tcPr>
            <w:tcW w:w="1474" w:type="dxa"/>
            <w:vAlign w:val="center"/>
          </w:tcPr>
          <w:p>
            <w:pPr>
              <w:spacing w:before="20" w:after="20"/>
              <w:jc w:val="left"/>
            </w:pPr>
            <w:r>
              <w:rPr>
                <w:color w:val="000000"/>
                <w:sz w:val="19"/>
              </w:rPr>
              <w:t>Total</w:t>
            </w:r>
          </w:p>
        </w:tc>
        <w:tc>
          <w:tcPr>
            <w:tcW w:w="2041" w:type="dxa"/>
            <w:vAlign w:val="center"/>
          </w:tcPr>
          <w:p>
            <w:pPr>
              <w:spacing w:before="20" w:after="20"/>
              <w:jc w:val="left"/>
            </w:pPr>
          </w:p>
        </w:tc>
        <w:tc>
          <w:tcPr>
            <w:tcW w:w="1927" w:type="dxa"/>
            <w:vAlign w:val="center"/>
          </w:tcPr>
          <w:p>
            <w:pPr>
              <w:spacing w:before="20" w:after="20"/>
              <w:jc w:val="left"/>
            </w:pPr>
          </w:p>
        </w:tc>
        <w:tc>
          <w:tcPr>
            <w:tcW w:w="1134" w:type="dxa"/>
            <w:vAlign w:val="center"/>
          </w:tcPr>
          <w:p>
            <w:pPr>
              <w:spacing w:before="20" w:after="20"/>
              <w:jc w:val="center"/>
            </w:pPr>
          </w:p>
        </w:tc>
        <w:tc>
          <w:tcPr>
            <w:tcW w:w="793" w:type="dxa"/>
            <w:vAlign w:val="center"/>
          </w:tcPr>
          <w:p>
            <w:pPr>
              <w:spacing w:before="20" w:after="20"/>
              <w:jc w:val="center"/>
            </w:pPr>
            <w:r>
              <w:rPr>
                <w:color w:val="000000"/>
                <w:sz w:val="19"/>
              </w:rPr>
              <w:t>2.559</w:t>
            </w:r>
          </w:p>
        </w:tc>
        <w:tc>
          <w:tcPr>
            <w:tcW w:w="793" w:type="dxa"/>
            <w:vAlign w:val="center"/>
          </w:tcPr>
          <w:p>
            <w:pPr>
              <w:spacing w:before="20" w:after="20"/>
              <w:jc w:val="center"/>
            </w:pPr>
            <w:r>
              <w:rPr>
                <w:color w:val="000000"/>
                <w:sz w:val="19"/>
              </w:rPr>
              <w:t>1.000</w:t>
            </w:r>
          </w:p>
        </w:tc>
      </w:tr>
    </w:tbl>
    <w:p>
      <w:pPr>
        <w:spacing w:before="0" w:after="120"/>
      </w:pPr>
    </w:p>
    <w:p>
      <w:pPr>
        <w:spacing w:after="160" w:line="360" w:lineRule="auto"/>
        <w:ind w:firstLine="0"/>
        <w:jc w:val="both"/>
      </w:pPr>
      <w:r>
        <w:rPr>
          <w:b/>
          <w:color w:val="000000"/>
        </w:rPr>
        <w:t>Why the logarithm of the odds ratio.</w:t>
      </w:r>
      <w:r>
        <w:rPr>
          <w:color w:val="000000"/>
        </w:rPr>
        <w:t xml:space="preserve"> In a logistic-regression model of fall probability, the coefficient of a binary risk factor equals the logarithm of its odds ratio:</w:t>
      </w:r>
    </w:p>
    <w:p>
      <w:pPr>
        <w:tabs>
          <w:tab w:val="center" w:pos="4333"/>
          <w:tab w:val="right" w:pos="8666"/>
        </w:tabs>
        <w:spacing w:before="120" w:after="120"/>
      </w:pPr>
      <w:r>
        <w:tab/>
      </w:r>
      <w:r>
        <w:rPr>
          <w:color w:val="000000"/>
        </w:rPr>
        <w:t>logit P(fall) = β</w:t>
      </w:r>
      <w:r>
        <w:rPr>
          <w:vertAlign w:val="subscript"/>
          <w:color w:val="000000"/>
        </w:rPr>
        <w:t>0</w:t>
      </w:r>
      <w:r>
        <w:rPr>
          <w:color w:val="000000"/>
        </w:rPr>
        <w:t xml:space="preserve"> + Σ</w:t>
      </w:r>
      <w:r>
        <w:rPr>
          <w:vertAlign w:val="subscript"/>
          <w:color w:val="000000"/>
        </w:rPr>
        <w:t>L</w:t>
      </w:r>
      <w:r>
        <w:rPr>
          <w:color w:val="000000"/>
        </w:rPr>
        <w:t xml:space="preserve"> β</w:t>
      </w:r>
      <w:r>
        <w:rPr>
          <w:vertAlign w:val="subscript"/>
          <w:color w:val="000000"/>
        </w:rPr>
        <w:t>L</w:t>
      </w:r>
      <w:r>
        <w:rPr>
          <w:color w:val="000000"/>
        </w:rPr>
        <w:t xml:space="preserve"> · x</w:t>
      </w:r>
      <w:r>
        <w:rPr>
          <w:vertAlign w:val="subscript"/>
          <w:color w:val="000000"/>
        </w:rPr>
        <w:t>L</w:t>
      </w:r>
      <w:r>
        <w:rPr>
          <w:color w:val="000000"/>
        </w:rPr>
        <w:t>,    β</w:t>
      </w:r>
      <w:r>
        <w:rPr>
          <w:vertAlign w:val="subscript"/>
          <w:color w:val="000000"/>
        </w:rPr>
        <w:t>L</w:t>
      </w:r>
      <w:r>
        <w:rPr>
          <w:color w:val="000000"/>
        </w:rPr>
        <w:t xml:space="preserve"> = ln(OR</w:t>
      </w:r>
      <w:r>
        <w:rPr>
          <w:vertAlign w:val="subscript"/>
          <w:color w:val="000000"/>
        </w:rPr>
        <w:t>L</w:t>
      </w:r>
      <w:r>
        <w:rPr>
          <w:color w:val="000000"/>
        </w:rPr>
        <w:t>)</w:t>
      </w:r>
      <w:r>
        <w:tab/>
      </w:r>
      <w:r>
        <w:rPr>
          <w:color w:val="000000"/>
        </w:rPr>
        <w:t>(3.7)</w:t>
      </w:r>
    </w:p>
    <w:p>
      <w:pPr>
        <w:spacing w:after="160" w:line="360" w:lineRule="auto"/>
        <w:ind w:firstLine="0"/>
        <w:jc w:val="both"/>
      </w:pPr>
      <w:r>
        <w:rPr>
          <w:color w:val="000000"/>
        </w:rPr>
        <w:t>where x</w:t>
      </w:r>
      <w:r>
        <w:rPr>
          <w:vertAlign w:val="subscript"/>
          <w:color w:val="000000"/>
        </w:rPr>
        <w:t>L</w:t>
      </w:r>
      <w:r>
        <w:rPr>
          <w:color w:val="000000"/>
        </w:rPr>
        <w:t xml:space="preserve"> = 1 if the factor is present. A coefficient fitted on another study’s dataset cannot be reused directly, because it depends on that study’s units, scaling and population. An odds ratio, however, is unit-free and is pooled over many studies in a meta-analysis. The engine therefore takes only β</w:t>
      </w:r>
      <w:r>
        <w:rPr>
          <w:vertAlign w:val="subscript"/>
          <w:color w:val="000000"/>
        </w:rPr>
        <w:t>L</w:t>
      </w:r>
      <w:r>
        <w:rPr>
          <w:color w:val="000000"/>
        </w:rPr>
        <w:t xml:space="preserve"> = ln(OR</w:t>
      </w:r>
      <w:r>
        <w:rPr>
          <w:vertAlign w:val="subscript"/>
          <w:color w:val="000000"/>
        </w:rPr>
        <w:t>L</w:t>
      </w:r>
      <w:r>
        <w:rPr>
          <w:color w:val="000000"/>
        </w:rPr>
        <w:t>) from the literature and measures x</w:t>
      </w:r>
      <w:r>
        <w:rPr>
          <w:vertAlign w:val="subscript"/>
          <w:color w:val="000000"/>
        </w:rPr>
        <w:t>L</w:t>
      </w:r>
      <w:r>
        <w:rPr>
          <w:color w:val="000000"/>
        </w:rPr>
        <w:t xml:space="preserve"> itself, as x</w:t>
      </w:r>
      <w:r>
        <w:rPr>
          <w:vertAlign w:val="subscript"/>
          <w:color w:val="000000"/>
        </w:rPr>
        <w:t>L</w:t>
      </w:r>
      <w:r>
        <w:rPr>
          <w:color w:val="000000"/>
        </w:rPr>
        <w:t xml:space="preserve"> = R</w:t>
      </w:r>
      <w:r>
        <w:rPr>
          <w:vertAlign w:val="subscript"/>
          <w:color w:val="000000"/>
        </w:rPr>
        <w:t>L</w:t>
      </w:r>
      <w:r>
        <w:rPr>
          <w:color w:val="000000"/>
        </w:rPr>
        <w:t>/100, from the user’s own baseline. Dividing by the maximum possible increase Σ β</w:t>
      </w:r>
      <w:r>
        <w:rPr>
          <w:vertAlign w:val="subscript"/>
          <w:color w:val="000000"/>
        </w:rPr>
        <w:t>L</w:t>
      </w:r>
      <w:r>
        <w:rPr>
          <w:color w:val="000000"/>
        </w:rPr>
        <w:t xml:space="preserve"> gives a score between 0 and 100:</w:t>
      </w:r>
    </w:p>
    <w:p>
      <w:pPr>
        <w:tabs>
          <w:tab w:val="center" w:pos="4333"/>
          <w:tab w:val="right" w:pos="8666"/>
        </w:tabs>
        <w:spacing w:before="120" w:after="120"/>
      </w:pPr>
      <w:r>
        <w:tab/>
      </w:r>
      <w:r>
        <w:rPr>
          <w:color w:val="000000"/>
        </w:rPr>
        <w:t>FRS = 100 · Σ</w:t>
      </w:r>
      <w:r>
        <w:rPr>
          <w:vertAlign w:val="subscript"/>
          <w:color w:val="000000"/>
        </w:rPr>
        <w:t>L</w:t>
      </w:r>
      <w:r>
        <w:rPr>
          <w:color w:val="000000"/>
        </w:rPr>
        <w:t xml:space="preserve"> β</w:t>
      </w:r>
      <w:r>
        <w:rPr>
          <w:vertAlign w:val="subscript"/>
          <w:color w:val="000000"/>
        </w:rPr>
        <w:t>L</w:t>
      </w:r>
      <w:r>
        <w:rPr>
          <w:color w:val="000000"/>
        </w:rPr>
        <w:t xml:space="preserve"> · x</w:t>
      </w:r>
      <w:r>
        <w:rPr>
          <w:vertAlign w:val="subscript"/>
          <w:color w:val="000000"/>
        </w:rPr>
        <w:t>L</w:t>
      </w:r>
      <w:r>
        <w:rPr>
          <w:color w:val="000000"/>
        </w:rPr>
        <w:t xml:space="preserve"> / Σ</w:t>
      </w:r>
      <w:r>
        <w:rPr>
          <w:vertAlign w:val="subscript"/>
          <w:color w:val="000000"/>
        </w:rPr>
        <w:t>L</w:t>
      </w:r>
      <w:r>
        <w:rPr>
          <w:color w:val="000000"/>
        </w:rPr>
        <w:t xml:space="preserve"> β</w:t>
      </w:r>
      <w:r>
        <w:rPr>
          <w:vertAlign w:val="subscript"/>
          <w:color w:val="000000"/>
        </w:rPr>
        <w:t>L</w:t>
      </w:r>
      <w:r>
        <w:rPr>
          <w:color w:val="000000"/>
        </w:rPr>
        <w:t xml:space="preserve"> = Σ</w:t>
      </w:r>
      <w:r>
        <w:rPr>
          <w:vertAlign w:val="subscript"/>
          <w:color w:val="000000"/>
        </w:rPr>
        <w:t>L</w:t>
      </w:r>
      <w:r>
        <w:rPr>
          <w:color w:val="000000"/>
        </w:rPr>
        <w:t xml:space="preserve"> λ</w:t>
      </w:r>
      <w:r>
        <w:rPr>
          <w:vertAlign w:val="subscript"/>
          <w:color w:val="000000"/>
        </w:rPr>
        <w:t>L</w:t>
      </w:r>
      <w:r>
        <w:rPr>
          <w:color w:val="000000"/>
        </w:rPr>
        <w:t xml:space="preserve"> · R</w:t>
      </w:r>
      <w:r>
        <w:rPr>
          <w:vertAlign w:val="subscript"/>
          <w:color w:val="000000"/>
        </w:rPr>
        <w:t>L</w:t>
      </w:r>
      <w:r>
        <w:tab/>
      </w:r>
      <w:r>
        <w:rPr>
          <w:color w:val="000000"/>
        </w:rPr>
        <w:t>(3.8)</w:t>
      </w:r>
    </w:p>
    <w:p>
      <w:pPr>
        <w:spacing w:after="160" w:line="360" w:lineRule="auto"/>
        <w:ind w:firstLine="0"/>
        <w:jc w:val="both"/>
      </w:pPr>
      <w:r>
        <w:rPr>
          <w:color w:val="000000"/>
        </w:rPr>
        <w:t>The Fall Risk Score can therefore be read as the percentage of the maximum evidence-based increase in log-odds of falling that the user currently shows. The papers determine how much each factor matters; the ring data determines how much of each factor the user has today. New evidence can be added without retraining: a new factor with OR 1.5 adds β = 0.405 and the weights renormalise.</w:t>
      </w:r>
    </w:p>
    <w:p>
      <w:pPr>
        <w:keepNext/>
        <w:spacing w:before="200" w:after="80"/>
      </w:pPr>
      <w:r>
        <w:rPr>
          <w:b/>
          <w:color w:val="000000"/>
        </w:rPr>
        <w:t>3.4.8 Coverage-Adaptive Weights and the Final Score</w:t>
      </w:r>
    </w:p>
    <w:p>
      <w:pPr>
        <w:spacing w:after="160" w:line="360" w:lineRule="auto"/>
        <w:ind w:firstLine="0"/>
        <w:jc w:val="both"/>
      </w:pPr>
      <w:r>
        <w:rPr>
          <w:color w:val="000000"/>
        </w:rPr>
        <w:t>If a layer has only part of its data, its weight is scaled by its coverage and the weights are renormalised, so that missing sensors neither add risk nor silently count as healthy:</w:t>
      </w:r>
    </w:p>
    <w:p>
      <w:pPr>
        <w:tabs>
          <w:tab w:val="center" w:pos="4333"/>
          <w:tab w:val="right" w:pos="8666"/>
        </w:tabs>
        <w:spacing w:before="120" w:after="120"/>
      </w:pPr>
      <w:r>
        <w:tab/>
      </w:r>
      <w:r>
        <w:rPr>
          <w:color w:val="000000"/>
        </w:rPr>
        <w:t>λ′</w:t>
      </w:r>
      <w:r>
        <w:rPr>
          <w:vertAlign w:val="subscript"/>
          <w:color w:val="000000"/>
        </w:rPr>
        <w:t>L</w:t>
      </w:r>
      <w:r>
        <w:rPr>
          <w:color w:val="000000"/>
        </w:rPr>
        <w:t xml:space="preserve"> = λ</w:t>
      </w:r>
      <w:r>
        <w:rPr>
          <w:vertAlign w:val="subscript"/>
          <w:color w:val="000000"/>
        </w:rPr>
        <w:t>L</w:t>
      </w:r>
      <w:r>
        <w:rPr>
          <w:color w:val="000000"/>
        </w:rPr>
        <w:t xml:space="preserve"> · c</w:t>
      </w:r>
      <w:r>
        <w:rPr>
          <w:vertAlign w:val="subscript"/>
          <w:color w:val="000000"/>
        </w:rPr>
        <w:t>L</w:t>
      </w:r>
      <w:r>
        <w:rPr>
          <w:color w:val="000000"/>
        </w:rPr>
        <w:t xml:space="preserve"> / Σ</w:t>
      </w:r>
      <w:r>
        <w:rPr>
          <w:vertAlign w:val="subscript"/>
          <w:color w:val="000000"/>
        </w:rPr>
        <w:t>j</w:t>
      </w:r>
      <w:r>
        <w:rPr>
          <w:color w:val="000000"/>
        </w:rPr>
        <w:t xml:space="preserve"> λ</w:t>
      </w:r>
      <w:r>
        <w:rPr>
          <w:vertAlign w:val="subscript"/>
          <w:color w:val="000000"/>
        </w:rPr>
        <w:t>j</w:t>
      </w:r>
      <w:r>
        <w:rPr>
          <w:color w:val="000000"/>
        </w:rPr>
        <w:t xml:space="preserve"> · c</w:t>
      </w:r>
      <w:r>
        <w:rPr>
          <w:vertAlign w:val="subscript"/>
          <w:color w:val="000000"/>
        </w:rPr>
        <w:t>j</w:t>
      </w:r>
      <w:r>
        <w:rPr>
          <w:color w:val="000000"/>
        </w:rPr>
        <w:t>,        FRS = round( Σ</w:t>
      </w:r>
      <w:r>
        <w:rPr>
          <w:vertAlign w:val="subscript"/>
          <w:color w:val="000000"/>
        </w:rPr>
        <w:t>L</w:t>
      </w:r>
      <w:r>
        <w:rPr>
          <w:color w:val="000000"/>
        </w:rPr>
        <w:t xml:space="preserve"> λ′</w:t>
      </w:r>
      <w:r>
        <w:rPr>
          <w:vertAlign w:val="subscript"/>
          <w:color w:val="000000"/>
        </w:rPr>
        <w:t>L</w:t>
      </w:r>
      <w:r>
        <w:rPr>
          <w:color w:val="000000"/>
        </w:rPr>
        <w:t xml:space="preserve"> · R</w:t>
      </w:r>
      <w:r>
        <w:rPr>
          <w:vertAlign w:val="subscript"/>
          <w:color w:val="000000"/>
        </w:rPr>
        <w:t>L</w:t>
      </w:r>
      <w:r>
        <w:rPr>
          <w:color w:val="000000"/>
        </w:rPr>
        <w:t xml:space="preserve"> )</w:t>
      </w:r>
      <w:r>
        <w:tab/>
      </w:r>
      <w:r>
        <w:rPr>
          <w:color w:val="000000"/>
        </w:rPr>
        <w:t>(3.9)</w:t>
      </w:r>
    </w:p>
    <w:p>
      <w:pPr>
        <w:spacing w:after="160" w:line="360" w:lineRule="auto"/>
        <w:ind w:firstLine="0"/>
        <w:jc w:val="both"/>
      </w:pPr>
      <w:r>
        <w:rPr>
          <w:color w:val="000000"/>
        </w:rPr>
        <w:t>The score is mapped to a tier: LOW if FRS &lt; 40, MODERATE if 40 ≤ FRS &lt; 70 and HIGH if FRS ≥ 70.</w:t>
      </w:r>
    </w:p>
    <w:p>
      <w:pPr>
        <w:keepNext/>
        <w:spacing w:before="200" w:after="80"/>
      </w:pPr>
      <w:r>
        <w:rPr>
          <w:b/>
          <w:color w:val="000000"/>
        </w:rPr>
        <w:t>3.4.9 Coverage and Confidence</w:t>
      </w:r>
    </w:p>
    <w:p>
      <w:pPr>
        <w:spacing w:after="160" w:line="360" w:lineRule="auto"/>
        <w:ind w:firstLine="0"/>
        <w:jc w:val="both"/>
      </w:pPr>
      <w:r>
        <w:rPr>
          <w:color w:val="000000"/>
        </w:rPr>
        <w:t>A confidence score Q tells the user how much of the evidence the score rests on. It is the coverage weighted by the base layer weights, reduced when the newest data is old:</w:t>
      </w:r>
    </w:p>
    <w:p>
      <w:pPr>
        <w:tabs>
          <w:tab w:val="center" w:pos="4333"/>
          <w:tab w:val="right" w:pos="8666"/>
        </w:tabs>
        <w:spacing w:before="120" w:after="120"/>
      </w:pPr>
      <w:r>
        <w:tab/>
      </w:r>
      <w:r>
        <w:rPr>
          <w:color w:val="000000"/>
        </w:rPr>
        <w:t>Q = 100 · Σ</w:t>
      </w:r>
      <w:r>
        <w:rPr>
          <w:vertAlign w:val="subscript"/>
          <w:color w:val="000000"/>
        </w:rPr>
        <w:t>L</w:t>
      </w:r>
      <w:r>
        <w:rPr>
          <w:color w:val="000000"/>
        </w:rPr>
        <w:t xml:space="preserve"> λ</w:t>
      </w:r>
      <w:r>
        <w:rPr>
          <w:vertAlign w:val="subscript"/>
          <w:color w:val="000000"/>
        </w:rPr>
        <w:t>L</w:t>
      </w:r>
      <w:r>
        <w:rPr>
          <w:color w:val="000000"/>
        </w:rPr>
        <w:t xml:space="preserve"> · c</w:t>
      </w:r>
      <w:r>
        <w:rPr>
          <w:vertAlign w:val="subscript"/>
          <w:color w:val="000000"/>
        </w:rPr>
        <w:t>L</w:t>
      </w:r>
      <w:r>
        <w:rPr>
          <w:color w:val="000000"/>
        </w:rPr>
        <w:t xml:space="preserve"> − min(40, 10 · (a − 1)) for data age a &gt; 1 day</w:t>
      </w:r>
      <w:r>
        <w:tab/>
      </w:r>
      <w:r>
        <w:rPr>
          <w:color w:val="000000"/>
        </w:rPr>
        <w:t>(3.10)</w:t>
      </w:r>
    </w:p>
    <w:p>
      <w:pPr>
        <w:spacing w:after="160" w:line="360" w:lineRule="auto"/>
        <w:ind w:firstLine="0"/>
        <w:jc w:val="both"/>
      </w:pPr>
      <w:r>
        <w:rPr>
          <w:color w:val="000000"/>
        </w:rPr>
        <w:t>Q is clipped to 0–100; a score with Q &lt; 60 is marked as low confidence, and data older than two days is marked stale. Both flags are passed to the agent, which must disclose them.</w:t>
      </w:r>
    </w:p>
    <w:p>
      <w:pPr>
        <w:keepNext/>
        <w:spacing w:before="200" w:after="80"/>
      </w:pPr>
      <w:r>
        <w:rPr>
          <w:b/>
          <w:color w:val="000000"/>
        </w:rPr>
        <w:t>3.4.10 Additive Attribution</w:t>
      </w:r>
    </w:p>
    <w:p>
      <w:pPr>
        <w:spacing w:after="160" w:line="360" w:lineRule="auto"/>
        <w:ind w:firstLine="0"/>
        <w:jc w:val="both"/>
      </w:pPr>
      <w:r>
        <w:rPr>
          <w:color w:val="000000"/>
        </w:rPr>
        <w:t>Because the score is a weighted sum, it can be decomposed exactly into the points contributed by each measurement:</w:t>
      </w:r>
    </w:p>
    <w:p>
      <w:pPr>
        <w:tabs>
          <w:tab w:val="center" w:pos="4333"/>
          <w:tab w:val="right" w:pos="8666"/>
        </w:tabs>
        <w:spacing w:before="120" w:after="120"/>
      </w:pPr>
      <w:r>
        <w:tab/>
      </w:r>
      <w:r>
        <w:rPr>
          <w:color w:val="000000"/>
        </w:rPr>
        <w:t>points</w:t>
      </w:r>
      <w:r>
        <w:rPr>
          <w:vertAlign w:val="subscript"/>
          <w:color w:val="000000"/>
        </w:rPr>
        <w:t>k</w:t>
      </w:r>
      <w:r>
        <w:rPr>
          <w:color w:val="000000"/>
        </w:rPr>
        <w:t xml:space="preserve"> = λ′</w:t>
      </w:r>
      <w:r>
        <w:rPr>
          <w:vertAlign w:val="subscript"/>
          <w:color w:val="000000"/>
        </w:rPr>
        <w:t>L</w:t>
      </w:r>
      <w:r>
        <w:rPr>
          <w:color w:val="000000"/>
        </w:rPr>
        <w:t xml:space="preserve"> · (w</w:t>
      </w:r>
      <w:r>
        <w:rPr>
          <w:vertAlign w:val="subscript"/>
          <w:color w:val="000000"/>
        </w:rPr>
        <w:t>k</w:t>
      </w:r>
      <w:r>
        <w:rPr>
          <w:color w:val="000000"/>
        </w:rPr>
        <w:t xml:space="preserve"> / p</w:t>
      </w:r>
      <w:r>
        <w:rPr>
          <w:vertAlign w:val="subscript"/>
          <w:color w:val="000000"/>
        </w:rPr>
        <w:t>L</w:t>
      </w:r>
      <w:r>
        <w:rPr>
          <w:color w:val="000000"/>
        </w:rPr>
        <w:t>) · strain</w:t>
      </w:r>
      <w:r>
        <w:rPr>
          <w:vertAlign w:val="subscript"/>
          <w:color w:val="000000"/>
        </w:rPr>
        <w:t>k</w:t>
      </w:r>
      <w:r>
        <w:rPr>
          <w:color w:val="000000"/>
        </w:rPr>
        <w:t>,    points</w:t>
      </w:r>
      <w:r>
        <w:rPr>
          <w:vertAlign w:val="subscript"/>
          <w:color w:val="000000"/>
        </w:rPr>
        <w:t>FH</w:t>
      </w:r>
      <w:r>
        <w:rPr>
          <w:color w:val="000000"/>
        </w:rPr>
        <w:t xml:space="preserve"> = λ′</w:t>
      </w:r>
      <w:r>
        <w:rPr>
          <w:vertAlign w:val="subscript"/>
          <w:color w:val="000000"/>
        </w:rPr>
        <w:t>FH</w:t>
      </w:r>
      <w:r>
        <w:rPr>
          <w:color w:val="000000"/>
        </w:rPr>
        <w:t xml:space="preserve"> · R</w:t>
      </w:r>
      <w:r>
        <w:rPr>
          <w:vertAlign w:val="subscript"/>
          <w:color w:val="000000"/>
        </w:rPr>
        <w:t>FH</w:t>
      </w:r>
      <w:r>
        <w:tab/>
      </w:r>
      <w:r>
        <w:rPr>
          <w:color w:val="000000"/>
        </w:rPr>
        <w:t>(3.11)</w:t>
      </w:r>
    </w:p>
    <w:p>
      <w:pPr>
        <w:spacing w:after="160" w:line="360" w:lineRule="auto"/>
        <w:ind w:firstLine="0"/>
        <w:jc w:val="both"/>
      </w:pPr>
      <w:r>
        <w:rPr>
          <w:color w:val="000000"/>
        </w:rPr>
        <w:t>The points of all features and events add up to the unrounded score, which is verified by an automated test. These contributions are what the application displays on the “How this score is calculated” page and what the agent is allowed to use when it explains the score. The engine also reports a seven-day trend (the mean score of the previous seven days, each computed only from data available up to that day) and logs every computation to an audit table, user_fall_risk.</w:t>
      </w:r>
    </w:p>
    <w:p>
      <w:pPr>
        <w:keepNext/>
        <w:spacing w:before="160" w:after="60"/>
        <w:jc w:val="center"/>
      </w:pPr>
      <w:r>
        <w:drawing>
          <wp:inline xmlns:a="http://schemas.openxmlformats.org/drawingml/2006/main" xmlns:pic="http://schemas.openxmlformats.org/drawingml/2006/picture">
            <wp:extent cx="5040000" cy="3271935"/>
            <wp:docPr id="854119969" name="Picture 854119969"/>
            <wp:cNvGraphicFramePr>
              <a:graphicFrameLocks noChangeAspect="1"/>
            </wp:cNvGraphicFramePr>
            <a:graphic>
              <a:graphicData uri="http://schemas.openxmlformats.org/drawingml/2006/picture">
                <pic:pic>
                  <pic:nvPicPr>
                    <pic:cNvPr id="0" name="walkthrough_step1.png"/>
                    <pic:cNvPicPr/>
                  </pic:nvPicPr>
                  <pic:blipFill>
                    <a:blip r:embed="rId18"/>
                    <a:stretch>
                      <a:fillRect/>
                    </a:stretch>
                  </pic:blipFill>
                  <pic:spPr>
                    <a:xfrm>
                      <a:off x="0" y="0"/>
                      <a:ext cx="5040000" cy="3271935"/>
                    </a:xfrm>
                    <a:prstGeom prst="rect"/>
                  </pic:spPr>
                </pic:pic>
              </a:graphicData>
            </a:graphic>
          </wp:inline>
        </w:drawing>
      </w:r>
    </w:p>
    <w:p>
      <w:pPr>
        <w:keepLines/>
        <w:spacing w:before="60" w:after="240"/>
        <w:jc w:val="center"/>
      </w:pPr>
      <w:r>
        <w:rPr>
          <w:i/>
          <w:color w:val="000000"/>
          <w:sz w:val="22"/>
        </w:rPr>
        <w:t>Figure 3.6: Engine walk-through, step 1: today’s values against the personal 28-day baseline</w:t>
      </w:r>
    </w:p>
    <w:p>
      <w:pPr>
        <w:keepNext/>
        <w:spacing w:before="160" w:after="60"/>
        <w:jc w:val="center"/>
      </w:pPr>
      <w:r>
        <w:drawing>
          <wp:inline xmlns:a="http://schemas.openxmlformats.org/drawingml/2006/main" xmlns:pic="http://schemas.openxmlformats.org/drawingml/2006/picture">
            <wp:extent cx="5040000" cy="3845032"/>
            <wp:docPr id="854119970" name="Picture 854119970"/>
            <wp:cNvGraphicFramePr>
              <a:graphicFrameLocks noChangeAspect="1"/>
            </wp:cNvGraphicFramePr>
            <a:graphic>
              <a:graphicData uri="http://schemas.openxmlformats.org/drawingml/2006/picture">
                <pic:pic>
                  <pic:nvPicPr>
                    <pic:cNvPr id="0" name="walkthrough_step3.png"/>
                    <pic:cNvPicPr/>
                  </pic:nvPicPr>
                  <pic:blipFill>
                    <a:blip r:embed="rId19"/>
                    <a:stretch>
                      <a:fillRect/>
                    </a:stretch>
                  </pic:blipFill>
                  <pic:spPr>
                    <a:xfrm>
                      <a:off x="0" y="0"/>
                      <a:ext cx="5040000" cy="3845032"/>
                    </a:xfrm>
                    <a:prstGeom prst="rect"/>
                  </pic:spPr>
                </pic:pic>
              </a:graphicData>
            </a:graphic>
          </wp:inline>
        </w:drawing>
      </w:r>
    </w:p>
    <w:p>
      <w:pPr>
        <w:keepLines/>
        <w:spacing w:before="60" w:after="240"/>
        <w:jc w:val="center"/>
      </w:pPr>
      <w:r>
        <w:rPr>
          <w:i/>
          <w:color w:val="000000"/>
          <w:sz w:val="22"/>
        </w:rPr>
        <w:t>Figure 3.7: Engine walk-through, step 3: dead-zone strain for each feature</w:t>
      </w:r>
    </w:p>
    <w:p>
      <w:pPr>
        <w:keepNext/>
        <w:spacing w:before="160" w:after="60"/>
        <w:jc w:val="center"/>
      </w:pPr>
      <w:r>
        <w:drawing>
          <wp:inline xmlns:a="http://schemas.openxmlformats.org/drawingml/2006/main" xmlns:pic="http://schemas.openxmlformats.org/drawingml/2006/picture">
            <wp:extent cx="5040000" cy="4218968"/>
            <wp:docPr id="854119971" name="Picture 854119971"/>
            <wp:cNvGraphicFramePr>
              <a:graphicFrameLocks noChangeAspect="1"/>
            </wp:cNvGraphicFramePr>
            <a:graphic>
              <a:graphicData uri="http://schemas.openxmlformats.org/drawingml/2006/picture">
                <pic:pic>
                  <pic:nvPicPr>
                    <pic:cNvPr id="0" name="walkthrough_step4.png"/>
                    <pic:cNvPicPr/>
                  </pic:nvPicPr>
                  <pic:blipFill>
                    <a:blip r:embed="rId20"/>
                    <a:stretch>
                      <a:fillRect/>
                    </a:stretch>
                  </pic:blipFill>
                  <pic:spPr>
                    <a:xfrm>
                      <a:off x="0" y="0"/>
                      <a:ext cx="5040000" cy="4218968"/>
                    </a:xfrm>
                    <a:prstGeom prst="rect"/>
                  </pic:spPr>
                </pic:pic>
              </a:graphicData>
            </a:graphic>
          </wp:inline>
        </w:drawing>
      </w:r>
    </w:p>
    <w:p>
      <w:pPr>
        <w:keepLines/>
        <w:spacing w:before="60" w:after="240"/>
        <w:jc w:val="center"/>
      </w:pPr>
      <w:r>
        <w:rPr>
          <w:i/>
          <w:color w:val="000000"/>
          <w:sz w:val="22"/>
        </w:rPr>
        <w:t>Figure 3.8: Engine walk-through, step 4: layer risks and evidence-derived weights</w:t>
      </w:r>
    </w:p>
    <w:p>
      <w:pPr>
        <w:keepNext/>
        <w:spacing w:before="160" w:after="60"/>
        <w:jc w:val="center"/>
      </w:pPr>
      <w:r>
        <w:drawing>
          <wp:inline xmlns:a="http://schemas.openxmlformats.org/drawingml/2006/main" xmlns:pic="http://schemas.openxmlformats.org/drawingml/2006/picture">
            <wp:extent cx="5040000" cy="3028065"/>
            <wp:docPr id="854119972" name="Picture 854119972"/>
            <wp:cNvGraphicFramePr>
              <a:graphicFrameLocks noChangeAspect="1"/>
            </wp:cNvGraphicFramePr>
            <a:graphic>
              <a:graphicData uri="http://schemas.openxmlformats.org/drawingml/2006/picture">
                <pic:pic>
                  <pic:nvPicPr>
                    <pic:cNvPr id="0" name="walkthrough_step5.png"/>
                    <pic:cNvPicPr/>
                  </pic:nvPicPr>
                  <pic:blipFill>
                    <a:blip r:embed="rId21"/>
                    <a:stretch>
                      <a:fillRect/>
                    </a:stretch>
                  </pic:blipFill>
                  <pic:spPr>
                    <a:xfrm>
                      <a:off x="0" y="0"/>
                      <a:ext cx="5040000" cy="3028065"/>
                    </a:xfrm>
                    <a:prstGeom prst="rect"/>
                  </pic:spPr>
                </pic:pic>
              </a:graphicData>
            </a:graphic>
          </wp:inline>
        </w:drawing>
      </w:r>
    </w:p>
    <w:p>
      <w:pPr>
        <w:keepLines/>
        <w:spacing w:before="60" w:after="240"/>
        <w:jc w:val="center"/>
      </w:pPr>
      <w:r>
        <w:rPr>
          <w:i/>
          <w:color w:val="000000"/>
          <w:sz w:val="22"/>
        </w:rPr>
        <w:t>Figure 3.9: Engine walk-through, step 5: additive contributions summing to the score</w:t>
      </w:r>
    </w:p>
    <w:p>
      <w:pPr>
        <w:keepNext/>
        <w:spacing w:before="320" w:after="120"/>
      </w:pPr>
      <w:r>
        <w:rPr>
          <w:b/>
          <w:color w:val="000000"/>
          <w:sz w:val="28"/>
        </w:rPr>
        <w:t>3.5 Gait Signal Processing</w:t>
      </w:r>
    </w:p>
    <w:p>
      <w:pPr>
        <w:spacing w:after="160" w:line="360" w:lineRule="auto"/>
        <w:ind w:firstLine="0"/>
        <w:jc w:val="both"/>
      </w:pPr>
      <w:r>
        <w:rPr>
          <w:color w:val="000000"/>
        </w:rPr>
        <w:t>Gait problems carry the second-largest weight in the engine, so the motion component was developed as a signal-processing pipeline and validated on real data (Section 3.3.1). The input is vertical (V), mediolateral (ML) and anteroposterior (AP) acceleration, with yaw angular velocity, from a lower-back IMU at 100 Hz.</w:t>
      </w:r>
    </w:p>
    <w:p>
      <w:pPr>
        <w:keepNext/>
        <w:spacing w:before="200" w:after="80"/>
      </w:pPr>
      <w:r>
        <w:rPr>
          <w:b/>
          <w:color w:val="000000"/>
        </w:rPr>
        <w:t>3.5.1 Version 1: Step Detection and Regularity</w:t>
      </w:r>
    </w:p>
    <w:p>
      <w:pPr>
        <w:spacing w:after="160" w:line="360" w:lineRule="auto"/>
        <w:ind w:firstLine="0"/>
        <w:jc w:val="both"/>
      </w:pPr>
      <w:r>
        <w:rPr>
          <w:color w:val="000000"/>
        </w:rPr>
        <w:t>The vertical signal is band-pass filtered (4th-order Butterworth, 0.5–15 Hz, zero-phase). Steps are found as peaks of the 3 Hz low-passed signal with a minimum spacing of 0.35 s, and intervals between 0.3 s and 1.2 s are kept. From them we compute cadence, step-time coefficient of variation (CV), step and stride regularity from the autocorrelation of the vertical signal [21], and the AP harmonic ratio. On real walks, however, version 1 produced a step-time CV of about 8–9% for both groups, which is implausibly high for steady walking.</w:t>
      </w:r>
    </w:p>
    <w:p>
      <w:pPr>
        <w:keepNext/>
        <w:spacing w:before="200" w:after="80"/>
      </w:pPr>
      <w:r>
        <w:rPr>
          <w:b/>
          <w:color w:val="000000"/>
        </w:rPr>
        <w:t>3.5.2 Version 2: Turn Removal and Initial-Contact Detection</w:t>
      </w:r>
    </w:p>
    <w:p>
      <w:pPr>
        <w:spacing w:after="160" w:line="360" w:lineRule="auto"/>
        <w:ind w:firstLine="0"/>
        <w:jc w:val="both"/>
      </w:pPr>
      <w:r>
        <w:rPr>
          <w:color w:val="000000"/>
        </w:rPr>
        <w:t>Version 2 was designed to fix the variability estimate:</w:t>
      </w:r>
    </w:p>
    <w:p>
      <w:pPr>
        <w:pStyle w:val="ListParagraph"/>
        <w:numPr>
          <w:ilvl w:val="0"/>
          <w:numId w:val="102"/>
        </w:numPr>
        <w:spacing w:before="40" w:after="40" w:line="360" w:lineRule="auto"/>
        <w:jc w:val="both"/>
      </w:pPr>
      <w:r>
        <w:rPr>
          <w:b/>
          <w:color w:val="000000"/>
        </w:rPr>
        <w:t>Turn removal.</w:t>
      </w:r>
      <w:r>
        <w:rPr>
          <w:color w:val="000000"/>
        </w:rPr>
        <w:t xml:space="preserve"> The yaw rate is low-pass filtered at 1.5 Hz; samples above 25 °/s are treated as turning, the turning mask is extended by 1 s on each side, and only straight segments of at least 4 s are analysed.</w:t>
      </w:r>
    </w:p>
    <w:p>
      <w:pPr>
        <w:pStyle w:val="ListParagraph"/>
        <w:numPr>
          <w:ilvl w:val="0"/>
          <w:numId w:val="102"/>
        </w:numPr>
        <w:spacing w:before="40" w:after="40" w:line="360" w:lineRule="auto"/>
        <w:jc w:val="both"/>
      </w:pPr>
      <w:r>
        <w:rPr>
          <w:b/>
          <w:color w:val="000000"/>
        </w:rPr>
        <w:t>Person-specific step period.</w:t>
      </w:r>
      <w:r>
        <w:rPr>
          <w:color w:val="000000"/>
        </w:rPr>
        <w:t xml:space="preserve"> The step period is the lag of the maximum autocorrelation of the vertical signal between 0.3 s and 0.9 s.</w:t>
      </w:r>
    </w:p>
    <w:p>
      <w:pPr>
        <w:pStyle w:val="ListParagraph"/>
        <w:numPr>
          <w:ilvl w:val="0"/>
          <w:numId w:val="102"/>
        </w:numPr>
        <w:spacing w:before="40" w:after="40" w:line="360" w:lineRule="auto"/>
        <w:jc w:val="both"/>
      </w:pPr>
      <w:r>
        <w:rPr>
          <w:b/>
          <w:color w:val="000000"/>
        </w:rPr>
        <w:t>Initial contacts.</w:t>
      </w:r>
      <w:r>
        <w:rPr>
          <w:color w:val="000000"/>
        </w:rPr>
        <w:t xml:space="preserve"> Following McCamley et al. [20], the vertical acceleration is integrated, drift is removed, and initial contacts are found as minima of its Gaussian derivative (σ = 0.05 s), with a minimum spacing of 0.6 step periods.</w:t>
      </w:r>
    </w:p>
    <w:p>
      <w:pPr>
        <w:pStyle w:val="ListParagraph"/>
        <w:numPr>
          <w:ilvl w:val="0"/>
          <w:numId w:val="102"/>
        </w:numPr>
        <w:spacing w:before="40" w:after="40" w:line="360" w:lineRule="auto"/>
        <w:jc w:val="both"/>
      </w:pPr>
      <w:r>
        <w:rPr>
          <w:b/>
          <w:color w:val="000000"/>
        </w:rPr>
        <w:t>Plausibility.</w:t>
      </w:r>
      <w:r>
        <w:rPr>
          <w:color w:val="000000"/>
        </w:rPr>
        <w:t xml:space="preserve"> Step intervals outside 0.6–1.5 times the median are rejected.</w:t>
      </w:r>
    </w:p>
    <w:p>
      <w:pPr>
        <w:pStyle w:val="ListParagraph"/>
        <w:numPr>
          <w:ilvl w:val="0"/>
          <w:numId w:val="102"/>
        </w:numPr>
        <w:spacing w:before="40" w:after="40" w:line="360" w:lineRule="auto"/>
        <w:jc w:val="both"/>
      </w:pPr>
      <w:r>
        <w:rPr>
          <w:b/>
          <w:color w:val="000000"/>
        </w:rPr>
        <w:t>Stride-time CV.</w:t>
      </w:r>
      <w:r>
        <w:rPr>
          <w:color w:val="000000"/>
        </w:rPr>
        <w:t xml:space="preserve"> Variability is computed from strides (two consecutive steps of the same foot), as in Hausdorff et al. [12], rather than from steps, which removes left–right asymmetry from the estimate.</w:t>
      </w:r>
    </w:p>
    <w:p>
      <w:pPr>
        <w:spacing w:after="160" w:line="360" w:lineRule="auto"/>
        <w:ind w:firstLine="0"/>
        <w:jc w:val="both"/>
      </w:pPr>
      <w:r>
        <w:rPr>
          <w:color w:val="000000"/>
        </w:rPr>
        <w:t>On a synthetic benchmark with known variability, turns and left–right asymmetry, the mean error of the variability estimate fell from 6.79 CV points (version 1) to 0.52 (version 2), and the correlation with the true value rose from 0.61 to 0.98 (Section 4.4).</w:t>
      </w:r>
    </w:p>
    <w:p>
      <w:pPr>
        <w:keepNext/>
        <w:spacing w:before="200" w:after="80"/>
      </w:pPr>
      <w:r>
        <w:rPr>
          <w:b/>
          <w:color w:val="000000"/>
        </w:rPr>
        <w:t>3.5.3 Version 3 Features and the Gait Instability Index</w:t>
      </w:r>
    </w:p>
    <w:p>
      <w:pPr>
        <w:spacing w:after="160" w:line="360" w:lineRule="auto"/>
        <w:ind w:firstLine="0"/>
        <w:jc w:val="both"/>
      </w:pPr>
      <w:r>
        <w:rPr>
          <w:color w:val="000000"/>
        </w:rPr>
        <w:t xml:space="preserve">Version 3 adds turn features (turn duration, peak turn velocity, steps per 180°) following Drover et al. [22], together with step asymmetry, normalised jerk, spectral entropy and signal energy. The </w:t>
      </w:r>
      <w:r>
        <w:rPr>
          <w:b/>
          <w:color w:val="000000"/>
        </w:rPr>
        <w:t>Gait Instability Index</w:t>
      </w:r>
      <w:r>
        <w:rPr>
          <w:color w:val="000000"/>
        </w:rPr>
        <w:t xml:space="preserve"> combines features without using any fall labels: each feature is z-scored across the sample, multiplied by its a-priori risk direction from the literature (for example, lower cadence and lower regularity are worse), and the signed z-scores are averaged.</w:t>
      </w:r>
    </w:p>
    <w:p>
      <w:pPr>
        <w:keepNext/>
        <w:spacing w:before="200" w:after="80"/>
      </w:pPr>
      <w:r>
        <w:rPr>
          <w:b/>
          <w:color w:val="000000"/>
        </w:rPr>
        <w:t>3.5.4 Daily-Life Walking Detection</w:t>
      </w:r>
    </w:p>
    <w:p>
      <w:pPr>
        <w:spacing w:after="160" w:line="360" w:lineRule="auto"/>
        <w:ind w:firstLine="0"/>
        <w:jc w:val="both"/>
      </w:pPr>
      <w:r>
        <w:rPr>
          <w:color w:val="000000"/>
        </w:rPr>
        <w:t>For the three-day recordings, walking is detected in 5 s windows that are moving (RMS of vertical acceleration ≥ 0.06 g), rhythmic (autocorrelation ≥ 0.40 at 0.35–0.80 s) and at a plausible step frequency (1.3–2.6 Hz). Bouts of at least four consecutive walking windows are analysed with the version 2 extractor (first 120 s of each bout), and per-subject medians are combined into a daily-life index that also includes walking minutes per hour and median bout length.</w:t>
      </w:r>
    </w:p>
    <w:p>
      <w:pPr>
        <w:keepNext/>
        <w:spacing w:before="320" w:after="120"/>
      </w:pPr>
      <w:r>
        <w:rPr>
          <w:b/>
          <w:color w:val="000000"/>
          <w:sz w:val="28"/>
        </w:rPr>
        <w:t>3.6 Explainable and Safety-Aware Agent</w:t>
      </w:r>
    </w:p>
    <w:p>
      <w:pPr>
        <w:spacing w:after="160" w:line="360" w:lineRule="auto"/>
        <w:ind w:firstLine="0"/>
        <w:jc w:val="both"/>
      </w:pPr>
      <w:r>
        <w:rPr>
          <w:color w:val="000000"/>
        </w:rPr>
        <w:t>The agent answers the user’s questions in the AI Assist chat. Its pipeline (Figure 3.10) has six stages: (1) a router, an LLM safety classifier and a lookup of recent ring fall events run in parallel; (2) the three safety signals are fused; (3) if there is no emergency, only the data streams the router selected are fetched; (4) the engine computes the fall-risk score and its contributors; (5) the LLM explains the numbers; and (6) every number in the reply is checked against the data before it is sent.</w:t>
      </w:r>
    </w:p>
    <w:p>
      <w:pPr>
        <w:keepNext/>
        <w:spacing w:before="160" w:after="60"/>
        <w:jc w:val="center"/>
      </w:pPr>
      <w:r>
        <w:drawing>
          <wp:inline xmlns:a="http://schemas.openxmlformats.org/drawingml/2006/main" xmlns:pic="http://schemas.openxmlformats.org/drawingml/2006/picture">
            <wp:extent cx="2736000" cy="7930435"/>
            <wp:docPr id="854119973" name="Picture 854119973"/>
            <wp:cNvGraphicFramePr>
              <a:graphicFrameLocks noChangeAspect="1"/>
            </wp:cNvGraphicFramePr>
            <a:graphic>
              <a:graphicData uri="http://schemas.openxmlformats.org/drawingml/2006/picture">
                <pic:pic>
                  <pic:nvPicPr>
                    <pic:cNvPr id="0" name="architecture_rot.png"/>
                    <pic:cNvPicPr/>
                  </pic:nvPicPr>
                  <pic:blipFill>
                    <a:blip r:embed="rId22"/>
                    <a:stretch>
                      <a:fillRect/>
                    </a:stretch>
                  </pic:blipFill>
                  <pic:spPr>
                    <a:xfrm>
                      <a:off x="0" y="0"/>
                      <a:ext cx="2736000" cy="7930435"/>
                    </a:xfrm>
                    <a:prstGeom prst="rect"/>
                  </pic:spPr>
                </pic:pic>
              </a:graphicData>
            </a:graphic>
          </wp:inline>
        </w:drawing>
      </w:r>
    </w:p>
    <w:p>
      <w:pPr>
        <w:keepLines/>
        <w:spacing w:before="60" w:after="240"/>
        <w:jc w:val="center"/>
      </w:pPr>
      <w:r>
        <w:rPr>
          <w:i/>
          <w:color w:val="000000"/>
          <w:sz w:val="22"/>
        </w:rPr>
        <w:t>Figure 3.10: Pipeline of the agent (rotated)</w:t>
      </w:r>
    </w:p>
    <w:p>
      <w:pPr>
        <w:keepNext/>
        <w:spacing w:before="200" w:after="80"/>
      </w:pPr>
      <w:r>
        <w:rPr>
          <w:b/>
          <w:color w:val="000000"/>
        </w:rPr>
        <w:t>3.6.1 Confidence-Scored Routing with Safety Widening</w:t>
      </w:r>
    </w:p>
    <w:p>
      <w:pPr>
        <w:spacing w:after="160" w:line="360" w:lineRule="auto"/>
        <w:ind w:firstLine="0"/>
        <w:jc w:val="both"/>
      </w:pPr>
      <w:r>
        <w:rPr>
          <w:color w:val="000000"/>
        </w:rPr>
        <w:t>The router is an LLM call that selects which of twelve data streams (profile, current heart rate, sleep, heart-rate history, HRV, SpO₂, steps, blood pressure, temperature, stress, cycles and fall risk) a question needs, together with a confidence and a flag for whether the question concerns the user’s own safety. Fetching only what is needed keeps the context small. Because a missed fetch on a safety question is worse than an unnecessary one, the routing is deliberately asymmetric: if the question is safety-relevant and the confidence is below 0.75, the safety streams (fall risk, current heart rate, SpO₂ and HRV) are added; if it is safety-relevant and confident, the fall-risk stream is added if missing. If the router fails, a keyword router is used with confidence 0.5.</w:t>
      </w:r>
    </w:p>
    <w:p>
      <w:pPr>
        <w:keepNext/>
        <w:spacing w:before="200" w:after="80"/>
      </w:pPr>
      <w:r>
        <w:rPr>
          <w:b/>
          <w:color w:val="000000"/>
        </w:rPr>
        <w:t>3.6.2 Tri-Modal Safety Fusion</w:t>
      </w:r>
    </w:p>
    <w:p>
      <w:pPr>
        <w:spacing w:after="160" w:line="360" w:lineRule="auto"/>
        <w:ind w:firstLine="0"/>
        <w:jc w:val="both"/>
      </w:pPr>
      <w:r>
        <w:rPr>
          <w:color w:val="000000"/>
        </w:rPr>
        <w:t>Whether a message is an emergency is decided from three independent signals:</w:t>
      </w:r>
    </w:p>
    <w:p>
      <w:pPr>
        <w:pStyle w:val="ListParagraph"/>
        <w:numPr>
          <w:ilvl w:val="0"/>
          <w:numId w:val="103"/>
        </w:numPr>
        <w:spacing w:before="40" w:after="40" w:line="360" w:lineRule="auto"/>
        <w:jc w:val="both"/>
      </w:pPr>
      <w:r>
        <w:rPr>
          <w:b/>
          <w:color w:val="000000"/>
        </w:rPr>
        <w:t>Keyword signal</w:t>
      </w:r>
      <w:r>
        <w:rPr>
          <w:color w:val="000000"/>
        </w:rPr>
        <w:t xml:space="preserve"> – a vocabulary of emergency phrases (for example “chest pain”, “can’t get up”, “hit my head”) and two guarded patterns for first-person falls, which exclude benign uses such as “I fell asleep” or “I fell behind”.</w:t>
      </w:r>
    </w:p>
    <w:p>
      <w:pPr>
        <w:pStyle w:val="ListParagraph"/>
        <w:numPr>
          <w:ilvl w:val="0"/>
          <w:numId w:val="103"/>
        </w:numPr>
        <w:spacing w:before="40" w:after="40" w:line="360" w:lineRule="auto"/>
        <w:jc w:val="both"/>
      </w:pPr>
      <w:r>
        <w:rPr>
          <w:b/>
          <w:color w:val="000000"/>
        </w:rPr>
        <w:t>LLM signal</w:t>
      </w:r>
      <w:r>
        <w:rPr>
          <w:color w:val="000000"/>
        </w:rPr>
        <w:t xml:space="preserve"> – an LLM classifier that returns whether the message is an emergency and its confidence; it triggers at a confidence of 0.7 or more.</w:t>
      </w:r>
    </w:p>
    <w:p>
      <w:pPr>
        <w:pStyle w:val="ListParagraph"/>
        <w:numPr>
          <w:ilvl w:val="0"/>
          <w:numId w:val="103"/>
        </w:numPr>
        <w:spacing w:before="40" w:after="40" w:line="360" w:lineRule="auto"/>
        <w:jc w:val="both"/>
      </w:pPr>
      <w:r>
        <w:rPr>
          <w:b/>
          <w:color w:val="000000"/>
        </w:rPr>
        <w:t>Biometric signal</w:t>
      </w:r>
      <w:r>
        <w:rPr>
          <w:color w:val="000000"/>
        </w:rPr>
        <w:t xml:space="preserve"> – an uncancelled fall recorded by the ring or phone in the last 30 minutes.</w:t>
      </w:r>
    </w:p>
    <w:p>
      <w:pPr>
        <w:spacing w:after="160" w:line="360" w:lineRule="auto"/>
        <w:ind w:firstLine="0"/>
        <w:jc w:val="both"/>
      </w:pPr>
      <w:r>
        <w:rPr>
          <w:color w:val="000000"/>
        </w:rPr>
        <w:t>The message is an emergency if any signal triggers. A keyword hit is ignored only when the LLM is confident (≥ 0.85) that the message is not an emergency, which suppresses informational questions such as “What are the symptoms of a stroke?”. The biometric signal cannot be overridden: a calm message such as “I’m fine, just a bit shaken” after a recent fall still produces an emergency reply, worded to ask the user to cancel the alert if they are safe.</w:t>
      </w:r>
    </w:p>
    <w:p>
      <w:pPr>
        <w:keepNext/>
        <w:spacing w:before="200" w:after="80"/>
      </w:pPr>
      <w:r>
        <w:rPr>
          <w:b/>
          <w:color w:val="000000"/>
        </w:rPr>
        <w:t>3.6.3 Grounded Generation</w:t>
      </w:r>
    </w:p>
    <w:p>
      <w:pPr>
        <w:spacing w:after="160" w:line="360" w:lineRule="auto"/>
        <w:ind w:firstLine="0"/>
        <w:jc w:val="both"/>
      </w:pPr>
      <w:r>
        <w:rPr>
          <w:color w:val="000000"/>
        </w:rPr>
        <w:t xml:space="preserve">When the fall-risk stream is selected, the engine’s output is rendered into a text block that states the score, tier, confidence, trend, cycle adjustment and top contributors as literal values, with an instruction not to recompute them. The LLM must return its answer as structured JSON with four fields — facts, rationale, action and final reply — so that its reasoning is anchored to stated facts. Specific rules forbid saying that the user </w:t>
      </w:r>
      <w:r>
        <w:rPr>
          <w:i/>
          <w:color w:val="000000"/>
        </w:rPr>
        <w:t>will</w:t>
      </w:r>
      <w:r>
        <w:rPr>
          <w:color w:val="000000"/>
        </w:rPr>
        <w:t xml:space="preserve"> fall and require disclosure of low confidence or stale data.</w:t>
      </w:r>
    </w:p>
    <w:p>
      <w:pPr>
        <w:keepNext/>
        <w:spacing w:before="200" w:after="80"/>
      </w:pPr>
      <w:r>
        <w:rPr>
          <w:b/>
          <w:color w:val="000000"/>
        </w:rPr>
        <w:t>3.6.4 Closed-Loop Self-Verification</w:t>
      </w:r>
    </w:p>
    <w:p>
      <w:pPr>
        <w:spacing w:after="160" w:line="360" w:lineRule="auto"/>
        <w:ind w:firstLine="0"/>
        <w:jc w:val="both"/>
      </w:pPr>
      <w:r>
        <w:rPr>
          <w:color w:val="000000"/>
        </w:rPr>
        <w:t>Before a reply is sent, every number in it is extracted and looked up in the patient data that was given to the model, with digit boundaries so that “5” is not matched inside “56”. The strict grounding score is the share of numbers found (1.0 when there are none; the emergency number 112 is allowed). If any number is not found, one corrective request lists the offending numbers and asks for a corrected reply, which is used only if it parses and does not lower the score. Unlike sampling-based checks [7] or self-critique [8], this check uses the user’s actual data as the ground truth and costs at most one extra call.</w:t>
      </w:r>
    </w:p>
    <w:p>
      <w:pPr>
        <w:keepNext/>
        <w:spacing w:before="200" w:after="80"/>
      </w:pPr>
      <w:r>
        <w:rPr>
          <w:b/>
          <w:color w:val="000000"/>
        </w:rPr>
        <w:t>3.6.5 Personal Correlations</w:t>
      </w:r>
    </w:p>
    <w:p>
      <w:pPr>
        <w:spacing w:after="160" w:line="360" w:lineRule="auto"/>
        <w:ind w:firstLine="0"/>
        <w:jc w:val="both"/>
      </w:pPr>
      <w:r>
        <w:rPr>
          <w:color w:val="000000"/>
        </w:rPr>
        <w:t>The agent can also report patterns in the user’s own history, for example that HRV is lower after short nights. Five fixed pairs (such as sleep duration → HRV and stress → next-night sleep score) are tested with the Pearson correlation over the last 45 days, and a pattern is reported only if at least 14 days are available, |r| ≥ 0.40 and p &lt; 0.05.</w:t>
      </w:r>
    </w:p>
    <w:p>
      <w:pPr>
        <w:keepNext/>
        <w:spacing w:before="320" w:after="120"/>
      </w:pPr>
      <w:r>
        <w:rPr>
          <w:b/>
          <w:color w:val="000000"/>
          <w:sz w:val="28"/>
        </w:rPr>
        <w:t>3.7 Evaluation Methodology</w:t>
      </w:r>
    </w:p>
    <w:p>
      <w:pPr>
        <w:keepNext/>
        <w:spacing w:before="200" w:after="80"/>
      </w:pPr>
      <w:r>
        <w:rPr>
          <w:b/>
          <w:color w:val="000000"/>
        </w:rPr>
        <w:t>3.7.1 Real-Data Experiments on LTMM</w:t>
      </w:r>
    </w:p>
    <w:p>
      <w:pPr>
        <w:spacing w:after="160" w:line="360" w:lineRule="auto"/>
        <w:ind w:firstLine="0"/>
        <w:jc w:val="both"/>
      </w:pPr>
      <w:r>
        <w:rPr>
          <w:color w:val="000000"/>
        </w:rPr>
        <w:t>Discrimination between fallers and non-fallers is measured with the area under the ROC curve (AUC). For untrained indices, 95% confidence intervals are obtained from 2,000 bootstrap resamples of subjects. Trained comparators are evaluated with stratified five-fold cross-validation repeated 10 or 20 times, always split by subject so that no person appears in both training and test folds, and are reported as mean ± standard deviation. Permutation tests compare a model with chance. The models of Experiments 2 and 3 were fixed before they were run (pre-registered), and every one of them is reported:</w:t>
      </w:r>
    </w:p>
    <w:p>
      <w:pPr>
        <w:pStyle w:val="ListParagraph"/>
        <w:numPr>
          <w:ilvl w:val="0"/>
          <w:numId w:val="2"/>
        </w:numPr>
        <w:spacing w:before="40" w:after="40" w:line="360" w:lineRule="auto"/>
        <w:jc w:val="both"/>
      </w:pPr>
      <w:r>
        <w:rPr>
          <w:b/>
          <w:color w:val="000000"/>
        </w:rPr>
        <w:t>Experiment 1</w:t>
      </w:r>
      <w:r>
        <w:rPr>
          <w:color w:val="000000"/>
        </w:rPr>
        <w:t xml:space="preserve"> – version 1 and version 2 Gait Instability Indices on the lab walks, per-feature AUCs, a logistic-regression comparator, and the clinical TUG and Berg scores.</w:t>
      </w:r>
    </w:p>
    <w:p>
      <w:pPr>
        <w:pStyle w:val="ListParagraph"/>
        <w:numPr>
          <w:ilvl w:val="0"/>
          <w:numId w:val="2"/>
        </w:numPr>
        <w:spacing w:before="40" w:after="40" w:line="360" w:lineRule="auto"/>
        <w:jc w:val="both"/>
      </w:pPr>
      <w:r>
        <w:rPr>
          <w:b/>
          <w:color w:val="000000"/>
        </w:rPr>
        <w:t>Experiment 2</w:t>
      </w:r>
      <w:r>
        <w:rPr>
          <w:color w:val="000000"/>
        </w:rPr>
        <w:t xml:space="preserve"> – seven models M0–M6: the untrained v2 and v3 indices, logistic regression on v2 features, on v3 features with feature selection (k = 8), and with age and sex added, and two random forests.</w:t>
      </w:r>
    </w:p>
    <w:p>
      <w:pPr>
        <w:pStyle w:val="ListParagraph"/>
        <w:numPr>
          <w:ilvl w:val="0"/>
          <w:numId w:val="2"/>
        </w:numPr>
        <w:spacing w:before="40" w:after="40" w:line="360" w:lineRule="auto"/>
        <w:jc w:val="both"/>
      </w:pPr>
      <w:r>
        <w:rPr>
          <w:b/>
          <w:color w:val="000000"/>
        </w:rPr>
        <w:t>Experiment 3</w:t>
      </w:r>
      <w:r>
        <w:rPr>
          <w:color w:val="000000"/>
        </w:rPr>
        <w:t xml:space="preserve"> – daily-life walking: an untrained daily index (D0), a combined lab and daily index (D1, primary), logistic regression on daily features (D2) and on lab and daily features (D3), with the lab index on the same subjects (M0) as reference.</w:t>
      </w:r>
    </w:p>
    <w:p>
      <w:pPr>
        <w:keepNext/>
        <w:spacing w:before="200" w:after="80"/>
      </w:pPr>
      <w:r>
        <w:rPr>
          <w:b/>
          <w:color w:val="000000"/>
        </w:rPr>
        <w:t>3.7.2 Engine Analysis</w:t>
      </w:r>
    </w:p>
    <w:p>
      <w:pPr>
        <w:spacing w:after="160" w:line="360" w:lineRule="auto"/>
        <w:ind w:firstLine="0"/>
        <w:jc w:val="both"/>
      </w:pPr>
      <w:r>
        <w:rPr>
          <w:color w:val="000000"/>
        </w:rPr>
        <w:t>The engine is run on the synthetic cohort to check that each scenario produces the expected tier, that stale data lowers the confidence, and that contributions add up to the score. The cycle-aware baseline is evaluated by an ablation: on the normal luteal days of the two cycle users, the physiology-layer risk is computed with and without the correction, and a day is counted as flagged when the physiology risk is 30 or more.</w:t>
      </w:r>
    </w:p>
    <w:p>
      <w:pPr>
        <w:keepNext/>
        <w:spacing w:before="200" w:after="80"/>
      </w:pPr>
      <w:r>
        <w:rPr>
          <w:b/>
          <w:color w:val="000000"/>
        </w:rPr>
        <w:t>3.7.3 Agent Evaluation</w:t>
      </w:r>
    </w:p>
    <w:p>
      <w:pPr>
        <w:spacing w:after="160" w:line="360" w:lineRule="auto"/>
        <w:ind w:firstLine="0"/>
        <w:jc w:val="both"/>
      </w:pPr>
      <w:r>
        <w:rPr>
          <w:color w:val="000000"/>
        </w:rPr>
        <w:t>Four agent versions are compared on the same 11 scenarios (Table 3.5):</w:t>
      </w:r>
    </w:p>
    <w:p>
      <w:pPr>
        <w:pStyle w:val="ListParagraph"/>
        <w:numPr>
          <w:ilvl w:val="0"/>
          <w:numId w:val="2"/>
        </w:numPr>
        <w:spacing w:before="40" w:after="40" w:line="360" w:lineRule="auto"/>
        <w:jc w:val="both"/>
      </w:pPr>
      <w:r>
        <w:rPr>
          <w:b/>
          <w:color w:val="000000"/>
        </w:rPr>
        <w:t>Version A – Plain LLM:</w:t>
      </w:r>
      <w:r>
        <w:rPr>
          <w:color w:val="000000"/>
        </w:rPr>
        <w:t xml:space="preserve"> one LLM call with no access to the user’s data.</w:t>
      </w:r>
    </w:p>
    <w:p>
      <w:pPr>
        <w:pStyle w:val="ListParagraph"/>
        <w:numPr>
          <w:ilvl w:val="0"/>
          <w:numId w:val="2"/>
        </w:numPr>
        <w:spacing w:before="40" w:after="40" w:line="360" w:lineRule="auto"/>
        <w:jc w:val="both"/>
      </w:pPr>
      <w:r>
        <w:rPr>
          <w:b/>
          <w:color w:val="000000"/>
        </w:rPr>
        <w:t>Version B – Plain RAG:</w:t>
      </w:r>
      <w:r>
        <w:rPr>
          <w:color w:val="000000"/>
        </w:rPr>
        <w:t xml:space="preserve"> medical-knowledge retrieval and one LLM call, without biometrics.</w:t>
      </w:r>
    </w:p>
    <w:p>
      <w:pPr>
        <w:pStyle w:val="ListParagraph"/>
        <w:numPr>
          <w:ilvl w:val="0"/>
          <w:numId w:val="2"/>
        </w:numPr>
        <w:spacing w:before="40" w:after="40" w:line="360" w:lineRule="auto"/>
        <w:jc w:val="both"/>
      </w:pPr>
      <w:r>
        <w:rPr>
          <w:b/>
          <w:color w:val="000000"/>
        </w:rPr>
        <w:t>Version C – Baseline agent:</w:t>
      </w:r>
      <w:r>
        <w:rPr>
          <w:color w:val="000000"/>
        </w:rPr>
        <w:t xml:space="preserve"> keyword-only emergency check, fetches every data stream (including the fall-risk block), one LLM call, no verification.</w:t>
      </w:r>
    </w:p>
    <w:p>
      <w:pPr>
        <w:pStyle w:val="ListParagraph"/>
        <w:numPr>
          <w:ilvl w:val="0"/>
          <w:numId w:val="2"/>
        </w:numPr>
        <w:spacing w:before="40" w:after="40" w:line="360" w:lineRule="auto"/>
        <w:jc w:val="both"/>
      </w:pPr>
      <w:r>
        <w:rPr>
          <w:b/>
          <w:color w:val="000000"/>
        </w:rPr>
        <w:t>Version D – Proposed agent:</w:t>
      </w:r>
      <w:r>
        <w:rPr>
          <w:color w:val="000000"/>
        </w:rPr>
        <w:t xml:space="preserve"> the full pipeline of Section 3.6.</w:t>
      </w:r>
    </w:p>
    <w:p>
      <w:pPr>
        <w:keepNext/>
        <w:spacing w:before="200" w:after="80"/>
        <w:jc w:val="center"/>
      </w:pPr>
      <w:r>
        <w:rPr>
          <w:i/>
          <w:color w:val="000000"/>
          <w:sz w:val="22"/>
        </w:rPr>
        <w:t>Table 3.5: Agent evaluation scenarios</w:t>
      </w:r>
    </w:p>
    <w:tbl>
      <w:tblPr>
        <w:tblStyle w:val="TableGrid"/>
        <w:tblW w:w="8731" w:type="dxa"/>
        <w:jc w:val="center"/>
        <w:tblLayout w:type="fixed"/>
        <w:tblLook w:firstColumn="1" w:firstRow="1" w:lastColumn="0" w:lastRow="0" w:noHBand="0" w:noVBand="1" w:val="04A0"/>
      </w:tblPr>
      <w:tblGrid>
        <w:gridCol w:w="453"/>
        <w:gridCol w:w="1020"/>
        <w:gridCol w:w="3969"/>
        <w:gridCol w:w="1927"/>
        <w:gridCol w:w="1360"/>
      </w:tblGrid>
      <w:tr>
        <w:trPr>
          <w:cantSplit/>
          <w:tblHeader/>
        </w:trPr>
        <w:tc>
          <w:tcPr>
            <w:tcW w:w="453" w:type="dxa"/>
            <w:shd w:val="clear" w:color="auto" w:fill="E7E6E6"/>
            <w:vAlign w:val="center"/>
          </w:tcPr>
          <w:p>
            <w:pPr>
              <w:spacing w:before="20" w:after="20"/>
              <w:jc w:val="center"/>
            </w:pPr>
            <w:r>
              <w:rPr>
                <w:b/>
                <w:color w:val="000000"/>
                <w:sz w:val="18"/>
              </w:rPr>
              <w:t>#</w:t>
            </w:r>
          </w:p>
        </w:tc>
        <w:tc>
          <w:tcPr>
            <w:tcW w:w="1020" w:type="dxa"/>
            <w:shd w:val="clear" w:color="auto" w:fill="E7E6E6"/>
            <w:vAlign w:val="center"/>
          </w:tcPr>
          <w:p>
            <w:pPr>
              <w:spacing w:before="20" w:after="20"/>
              <w:jc w:val="center"/>
            </w:pPr>
            <w:r>
              <w:rPr>
                <w:b/>
                <w:color w:val="000000"/>
                <w:sz w:val="18"/>
              </w:rPr>
              <w:t>User</w:t>
            </w:r>
          </w:p>
        </w:tc>
        <w:tc>
          <w:tcPr>
            <w:tcW w:w="3969" w:type="dxa"/>
            <w:shd w:val="clear" w:color="auto" w:fill="E7E6E6"/>
            <w:vAlign w:val="center"/>
          </w:tcPr>
          <w:p>
            <w:pPr>
              <w:spacing w:before="20" w:after="20"/>
              <w:jc w:val="center"/>
            </w:pPr>
            <w:r>
              <w:rPr>
                <w:b/>
                <w:color w:val="000000"/>
                <w:sz w:val="18"/>
              </w:rPr>
              <w:t>Message</w:t>
            </w:r>
          </w:p>
        </w:tc>
        <w:tc>
          <w:tcPr>
            <w:tcW w:w="1927" w:type="dxa"/>
            <w:shd w:val="clear" w:color="auto" w:fill="E7E6E6"/>
            <w:vAlign w:val="center"/>
          </w:tcPr>
          <w:p>
            <w:pPr>
              <w:spacing w:before="20" w:after="20"/>
              <w:jc w:val="center"/>
            </w:pPr>
            <w:r>
              <w:rPr>
                <w:b/>
                <w:color w:val="000000"/>
                <w:sz w:val="18"/>
              </w:rPr>
              <w:t>Category</w:t>
            </w:r>
          </w:p>
        </w:tc>
        <w:tc>
          <w:tcPr>
            <w:tcW w:w="1360" w:type="dxa"/>
            <w:shd w:val="clear" w:color="auto" w:fill="E7E6E6"/>
            <w:vAlign w:val="center"/>
          </w:tcPr>
          <w:p>
            <w:pPr>
              <w:spacing w:before="20" w:after="20"/>
              <w:jc w:val="center"/>
            </w:pPr>
            <w:r>
              <w:rPr>
                <w:b/>
                <w:color w:val="000000"/>
                <w:sz w:val="18"/>
              </w:rPr>
              <w:t>Emergency</w:t>
            </w:r>
          </w:p>
        </w:tc>
      </w:tr>
      <w:tr>
        <w:trPr>
          <w:cantSplit/>
        </w:trPr>
        <w:tc>
          <w:tcPr>
            <w:tcW w:w="453" w:type="dxa"/>
            <w:vAlign w:val="center"/>
          </w:tcPr>
          <w:p>
            <w:pPr>
              <w:spacing w:before="20" w:after="20"/>
              <w:jc w:val="left"/>
            </w:pPr>
            <w:r>
              <w:rPr>
                <w:color w:val="000000"/>
                <w:sz w:val="18"/>
              </w:rPr>
              <w:t>1</w:t>
            </w:r>
          </w:p>
        </w:tc>
        <w:tc>
          <w:tcPr>
            <w:tcW w:w="1020" w:type="dxa"/>
            <w:vAlign w:val="center"/>
          </w:tcPr>
          <w:p>
            <w:pPr>
              <w:spacing w:before="20" w:after="20"/>
              <w:jc w:val="left"/>
            </w:pPr>
            <w:r>
              <w:rPr>
                <w:color w:val="000000"/>
                <w:sz w:val="18"/>
              </w:rPr>
              <w:t>Meera</w:t>
            </w:r>
          </w:p>
        </w:tc>
        <w:tc>
          <w:tcPr>
            <w:tcW w:w="3969" w:type="dxa"/>
            <w:vAlign w:val="center"/>
          </w:tcPr>
          <w:p>
            <w:pPr>
              <w:spacing w:before="20" w:after="20"/>
              <w:jc w:val="left"/>
            </w:pPr>
            <w:r>
              <w:rPr>
                <w:color w:val="000000"/>
                <w:sz w:val="18"/>
              </w:rPr>
              <w:t>What’s my fall risk today?</w:t>
            </w:r>
          </w:p>
        </w:tc>
        <w:tc>
          <w:tcPr>
            <w:tcW w:w="1927" w:type="dxa"/>
            <w:vAlign w:val="center"/>
          </w:tcPr>
          <w:p>
            <w:pPr>
              <w:spacing w:before="20" w:after="20"/>
              <w:jc w:val="left"/>
            </w:pPr>
            <w:r>
              <w:rPr>
                <w:color w:val="000000"/>
                <w:sz w:val="18"/>
              </w:rPr>
              <w:t>Fall risk</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2</w:t>
            </w:r>
          </w:p>
        </w:tc>
        <w:tc>
          <w:tcPr>
            <w:tcW w:w="1020" w:type="dxa"/>
            <w:vAlign w:val="center"/>
          </w:tcPr>
          <w:p>
            <w:pPr>
              <w:spacing w:before="20" w:after="20"/>
              <w:jc w:val="left"/>
            </w:pPr>
            <w:r>
              <w:rPr>
                <w:color w:val="000000"/>
                <w:sz w:val="18"/>
              </w:rPr>
              <w:t>Meera</w:t>
            </w:r>
          </w:p>
        </w:tc>
        <w:tc>
          <w:tcPr>
            <w:tcW w:w="3969" w:type="dxa"/>
            <w:vAlign w:val="center"/>
          </w:tcPr>
          <w:p>
            <w:pPr>
              <w:spacing w:before="20" w:after="20"/>
              <w:jc w:val="left"/>
            </w:pPr>
            <w:r>
              <w:rPr>
                <w:color w:val="000000"/>
                <w:sz w:val="18"/>
              </w:rPr>
              <w:t>Why is my fall risk high?</w:t>
            </w:r>
          </w:p>
        </w:tc>
        <w:tc>
          <w:tcPr>
            <w:tcW w:w="1927" w:type="dxa"/>
            <w:vAlign w:val="center"/>
          </w:tcPr>
          <w:p>
            <w:pPr>
              <w:spacing w:before="20" w:after="20"/>
              <w:jc w:val="left"/>
            </w:pPr>
            <w:r>
              <w:rPr>
                <w:color w:val="000000"/>
                <w:sz w:val="18"/>
              </w:rPr>
              <w:t>Explanation</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3</w:t>
            </w:r>
          </w:p>
        </w:tc>
        <w:tc>
          <w:tcPr>
            <w:tcW w:w="1020" w:type="dxa"/>
            <w:vAlign w:val="center"/>
          </w:tcPr>
          <w:p>
            <w:pPr>
              <w:spacing w:before="20" w:after="20"/>
              <w:jc w:val="left"/>
            </w:pPr>
            <w:r>
              <w:rPr>
                <w:color w:val="000000"/>
                <w:sz w:val="18"/>
              </w:rPr>
              <w:t>Arun</w:t>
            </w:r>
          </w:p>
        </w:tc>
        <w:tc>
          <w:tcPr>
            <w:tcW w:w="3969" w:type="dxa"/>
            <w:vAlign w:val="center"/>
          </w:tcPr>
          <w:p>
            <w:pPr>
              <w:spacing w:before="20" w:after="20"/>
              <w:jc w:val="left"/>
            </w:pPr>
            <w:r>
              <w:rPr>
                <w:color w:val="000000"/>
                <w:sz w:val="18"/>
              </w:rPr>
              <w:t>Am I at risk of falling?</w:t>
            </w:r>
          </w:p>
        </w:tc>
        <w:tc>
          <w:tcPr>
            <w:tcW w:w="1927" w:type="dxa"/>
            <w:vAlign w:val="center"/>
          </w:tcPr>
          <w:p>
            <w:pPr>
              <w:spacing w:before="20" w:after="20"/>
              <w:jc w:val="left"/>
            </w:pPr>
            <w:r>
              <w:rPr>
                <w:color w:val="000000"/>
                <w:sz w:val="18"/>
              </w:rPr>
              <w:t>Fall risk</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4</w:t>
            </w:r>
          </w:p>
        </w:tc>
        <w:tc>
          <w:tcPr>
            <w:tcW w:w="1020" w:type="dxa"/>
            <w:vAlign w:val="center"/>
          </w:tcPr>
          <w:p>
            <w:pPr>
              <w:spacing w:before="20" w:after="20"/>
              <w:jc w:val="left"/>
            </w:pPr>
            <w:r>
              <w:rPr>
                <w:color w:val="000000"/>
                <w:sz w:val="18"/>
              </w:rPr>
              <w:t>Ravi</w:t>
            </w:r>
          </w:p>
        </w:tc>
        <w:tc>
          <w:tcPr>
            <w:tcW w:w="3969" w:type="dxa"/>
            <w:vAlign w:val="center"/>
          </w:tcPr>
          <w:p>
            <w:pPr>
              <w:spacing w:before="20" w:after="20"/>
              <w:jc w:val="left"/>
            </w:pPr>
            <w:r>
              <w:rPr>
                <w:color w:val="000000"/>
                <w:sz w:val="18"/>
              </w:rPr>
              <w:t>What’s my fall risk today?</w:t>
            </w:r>
          </w:p>
        </w:tc>
        <w:tc>
          <w:tcPr>
            <w:tcW w:w="1927" w:type="dxa"/>
            <w:vAlign w:val="center"/>
          </w:tcPr>
          <w:p>
            <w:pPr>
              <w:spacing w:before="20" w:after="20"/>
              <w:jc w:val="left"/>
            </w:pPr>
            <w:r>
              <w:rPr>
                <w:color w:val="000000"/>
                <w:sz w:val="18"/>
              </w:rPr>
              <w:t>Stale data</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5</w:t>
            </w:r>
          </w:p>
        </w:tc>
        <w:tc>
          <w:tcPr>
            <w:tcW w:w="1020" w:type="dxa"/>
            <w:vAlign w:val="center"/>
          </w:tcPr>
          <w:p>
            <w:pPr>
              <w:spacing w:before="20" w:after="20"/>
              <w:jc w:val="left"/>
            </w:pPr>
            <w:r>
              <w:rPr>
                <w:color w:val="000000"/>
                <w:sz w:val="18"/>
              </w:rPr>
              <w:t>Arun</w:t>
            </w:r>
          </w:p>
        </w:tc>
        <w:tc>
          <w:tcPr>
            <w:tcW w:w="3969" w:type="dxa"/>
            <w:vAlign w:val="center"/>
          </w:tcPr>
          <w:p>
            <w:pPr>
              <w:spacing w:before="20" w:after="20"/>
              <w:jc w:val="left"/>
            </w:pPr>
            <w:r>
              <w:rPr>
                <w:color w:val="000000"/>
                <w:sz w:val="18"/>
              </w:rPr>
              <w:t>I fell and can’t get up</w:t>
            </w:r>
          </w:p>
        </w:tc>
        <w:tc>
          <w:tcPr>
            <w:tcW w:w="1927" w:type="dxa"/>
            <w:vAlign w:val="center"/>
          </w:tcPr>
          <w:p>
            <w:pPr>
              <w:spacing w:before="20" w:after="20"/>
              <w:jc w:val="left"/>
            </w:pPr>
            <w:r>
              <w:rPr>
                <w:color w:val="000000"/>
                <w:sz w:val="18"/>
              </w:rPr>
              <w:t>Obvious emergency</w:t>
            </w:r>
          </w:p>
        </w:tc>
        <w:tc>
          <w:tcPr>
            <w:tcW w:w="1360" w:type="dxa"/>
            <w:vAlign w:val="center"/>
          </w:tcPr>
          <w:p>
            <w:pPr>
              <w:spacing w:before="20" w:after="20"/>
              <w:jc w:val="left"/>
            </w:pPr>
            <w:r>
              <w:rPr>
                <w:color w:val="000000"/>
                <w:sz w:val="18"/>
              </w:rPr>
              <w:t>Yes</w:t>
            </w:r>
          </w:p>
        </w:tc>
      </w:tr>
      <w:tr>
        <w:trPr>
          <w:cantSplit/>
        </w:trPr>
        <w:tc>
          <w:tcPr>
            <w:tcW w:w="453" w:type="dxa"/>
            <w:vAlign w:val="center"/>
          </w:tcPr>
          <w:p>
            <w:pPr>
              <w:spacing w:before="20" w:after="20"/>
              <w:jc w:val="left"/>
            </w:pPr>
            <w:r>
              <w:rPr>
                <w:color w:val="000000"/>
                <w:sz w:val="18"/>
              </w:rPr>
              <w:t>6</w:t>
            </w:r>
          </w:p>
        </w:tc>
        <w:tc>
          <w:tcPr>
            <w:tcW w:w="1020" w:type="dxa"/>
            <w:vAlign w:val="center"/>
          </w:tcPr>
          <w:p>
            <w:pPr>
              <w:spacing w:before="20" w:after="20"/>
              <w:jc w:val="left"/>
            </w:pPr>
            <w:r>
              <w:rPr>
                <w:color w:val="000000"/>
                <w:sz w:val="18"/>
              </w:rPr>
              <w:t>Arun</w:t>
            </w:r>
          </w:p>
        </w:tc>
        <w:tc>
          <w:tcPr>
            <w:tcW w:w="3969" w:type="dxa"/>
            <w:vAlign w:val="center"/>
          </w:tcPr>
          <w:p>
            <w:pPr>
              <w:spacing w:before="20" w:after="20"/>
              <w:jc w:val="left"/>
            </w:pPr>
            <w:r>
              <w:rPr>
                <w:color w:val="000000"/>
                <w:sz w:val="18"/>
              </w:rPr>
              <w:t>Everything went black and now I’m lying on the bathroom floor</w:t>
            </w:r>
          </w:p>
        </w:tc>
        <w:tc>
          <w:tcPr>
            <w:tcW w:w="1927" w:type="dxa"/>
            <w:vAlign w:val="center"/>
          </w:tcPr>
          <w:p>
            <w:pPr>
              <w:spacing w:before="20" w:after="20"/>
              <w:jc w:val="left"/>
            </w:pPr>
            <w:r>
              <w:rPr>
                <w:color w:val="000000"/>
                <w:sz w:val="18"/>
              </w:rPr>
              <w:t>Paraphrased emergency</w:t>
            </w:r>
          </w:p>
        </w:tc>
        <w:tc>
          <w:tcPr>
            <w:tcW w:w="1360" w:type="dxa"/>
            <w:vAlign w:val="center"/>
          </w:tcPr>
          <w:p>
            <w:pPr>
              <w:spacing w:before="20" w:after="20"/>
              <w:jc w:val="left"/>
            </w:pPr>
            <w:r>
              <w:rPr>
                <w:color w:val="000000"/>
                <w:sz w:val="18"/>
              </w:rPr>
              <w:t>Yes</w:t>
            </w:r>
          </w:p>
        </w:tc>
      </w:tr>
      <w:tr>
        <w:trPr>
          <w:cantSplit/>
        </w:trPr>
        <w:tc>
          <w:tcPr>
            <w:tcW w:w="453" w:type="dxa"/>
            <w:vAlign w:val="center"/>
          </w:tcPr>
          <w:p>
            <w:pPr>
              <w:spacing w:before="20" w:after="20"/>
              <w:jc w:val="left"/>
            </w:pPr>
            <w:r>
              <w:rPr>
                <w:color w:val="000000"/>
                <w:sz w:val="18"/>
              </w:rPr>
              <w:t>7</w:t>
            </w:r>
          </w:p>
        </w:tc>
        <w:tc>
          <w:tcPr>
            <w:tcW w:w="1020" w:type="dxa"/>
            <w:vAlign w:val="center"/>
          </w:tcPr>
          <w:p>
            <w:pPr>
              <w:spacing w:before="20" w:after="20"/>
              <w:jc w:val="left"/>
            </w:pPr>
            <w:r>
              <w:rPr>
                <w:color w:val="000000"/>
                <w:sz w:val="18"/>
              </w:rPr>
              <w:t>Lakshmi</w:t>
            </w:r>
          </w:p>
        </w:tc>
        <w:tc>
          <w:tcPr>
            <w:tcW w:w="3969" w:type="dxa"/>
            <w:vAlign w:val="center"/>
          </w:tcPr>
          <w:p>
            <w:pPr>
              <w:spacing w:before="20" w:after="20"/>
              <w:jc w:val="left"/>
            </w:pPr>
            <w:r>
              <w:rPr>
                <w:color w:val="000000"/>
                <w:sz w:val="18"/>
              </w:rPr>
              <w:t>I’m fine, just a bit shaken (after a ring fall event)</w:t>
            </w:r>
          </w:p>
        </w:tc>
        <w:tc>
          <w:tcPr>
            <w:tcW w:w="1927" w:type="dxa"/>
            <w:vAlign w:val="center"/>
          </w:tcPr>
          <w:p>
            <w:pPr>
              <w:spacing w:before="20" w:after="20"/>
              <w:jc w:val="left"/>
            </w:pPr>
            <w:r>
              <w:rPr>
                <w:color w:val="000000"/>
                <w:sz w:val="18"/>
              </w:rPr>
              <w:t>Biometric only</w:t>
            </w:r>
          </w:p>
        </w:tc>
        <w:tc>
          <w:tcPr>
            <w:tcW w:w="1360" w:type="dxa"/>
            <w:vAlign w:val="center"/>
          </w:tcPr>
          <w:p>
            <w:pPr>
              <w:spacing w:before="20" w:after="20"/>
              <w:jc w:val="left"/>
            </w:pPr>
            <w:r>
              <w:rPr>
                <w:color w:val="000000"/>
                <w:sz w:val="18"/>
              </w:rPr>
              <w:t>Yes</w:t>
            </w:r>
          </w:p>
        </w:tc>
      </w:tr>
      <w:tr>
        <w:trPr>
          <w:cantSplit/>
        </w:trPr>
        <w:tc>
          <w:tcPr>
            <w:tcW w:w="453" w:type="dxa"/>
            <w:vAlign w:val="center"/>
          </w:tcPr>
          <w:p>
            <w:pPr>
              <w:spacing w:before="20" w:after="20"/>
              <w:jc w:val="left"/>
            </w:pPr>
            <w:r>
              <w:rPr>
                <w:color w:val="000000"/>
                <w:sz w:val="18"/>
              </w:rPr>
              <w:t>8</w:t>
            </w:r>
          </w:p>
        </w:tc>
        <w:tc>
          <w:tcPr>
            <w:tcW w:w="1020" w:type="dxa"/>
            <w:vAlign w:val="center"/>
          </w:tcPr>
          <w:p>
            <w:pPr>
              <w:spacing w:before="20" w:after="20"/>
              <w:jc w:val="left"/>
            </w:pPr>
            <w:r>
              <w:rPr>
                <w:color w:val="000000"/>
                <w:sz w:val="18"/>
              </w:rPr>
              <w:t>Arun</w:t>
            </w:r>
          </w:p>
        </w:tc>
        <w:tc>
          <w:tcPr>
            <w:tcW w:w="3969" w:type="dxa"/>
            <w:vAlign w:val="center"/>
          </w:tcPr>
          <w:p>
            <w:pPr>
              <w:spacing w:before="20" w:after="20"/>
              <w:jc w:val="left"/>
            </w:pPr>
            <w:r>
              <w:rPr>
                <w:color w:val="000000"/>
                <w:sz w:val="18"/>
              </w:rPr>
              <w:t>Why do older people fall more often?</w:t>
            </w:r>
          </w:p>
        </w:tc>
        <w:tc>
          <w:tcPr>
            <w:tcW w:w="1927" w:type="dxa"/>
            <w:vAlign w:val="center"/>
          </w:tcPr>
          <w:p>
            <w:pPr>
              <w:spacing w:before="20" w:after="20"/>
              <w:jc w:val="left"/>
            </w:pPr>
            <w:r>
              <w:rPr>
                <w:color w:val="000000"/>
                <w:sz w:val="18"/>
              </w:rPr>
              <w:t>Informational</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9</w:t>
            </w:r>
          </w:p>
        </w:tc>
        <w:tc>
          <w:tcPr>
            <w:tcW w:w="1020" w:type="dxa"/>
            <w:vAlign w:val="center"/>
          </w:tcPr>
          <w:p>
            <w:pPr>
              <w:spacing w:before="20" w:after="20"/>
              <w:jc w:val="left"/>
            </w:pPr>
            <w:r>
              <w:rPr>
                <w:color w:val="000000"/>
                <w:sz w:val="18"/>
              </w:rPr>
              <w:t>Arun</w:t>
            </w:r>
          </w:p>
        </w:tc>
        <w:tc>
          <w:tcPr>
            <w:tcW w:w="3969" w:type="dxa"/>
            <w:vAlign w:val="center"/>
          </w:tcPr>
          <w:p>
            <w:pPr>
              <w:spacing w:before="20" w:after="20"/>
              <w:jc w:val="left"/>
            </w:pPr>
            <w:r>
              <w:rPr>
                <w:color w:val="000000"/>
                <w:sz w:val="18"/>
              </w:rPr>
              <w:t>I fell asleep on the couch last night</w:t>
            </w:r>
          </w:p>
        </w:tc>
        <w:tc>
          <w:tcPr>
            <w:tcW w:w="1927" w:type="dxa"/>
            <w:vAlign w:val="center"/>
          </w:tcPr>
          <w:p>
            <w:pPr>
              <w:spacing w:before="20" w:after="20"/>
              <w:jc w:val="left"/>
            </w:pPr>
            <w:r>
              <w:rPr>
                <w:color w:val="000000"/>
                <w:sz w:val="18"/>
              </w:rPr>
              <w:t>Keyword trap</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10</w:t>
            </w:r>
          </w:p>
        </w:tc>
        <w:tc>
          <w:tcPr>
            <w:tcW w:w="1020" w:type="dxa"/>
            <w:vAlign w:val="center"/>
          </w:tcPr>
          <w:p>
            <w:pPr>
              <w:spacing w:before="20" w:after="20"/>
              <w:jc w:val="left"/>
            </w:pPr>
            <w:r>
              <w:rPr>
                <w:color w:val="000000"/>
                <w:sz w:val="18"/>
              </w:rPr>
              <w:t>Meera</w:t>
            </w:r>
          </w:p>
        </w:tc>
        <w:tc>
          <w:tcPr>
            <w:tcW w:w="3969" w:type="dxa"/>
            <w:vAlign w:val="center"/>
          </w:tcPr>
          <w:p>
            <w:pPr>
              <w:spacing w:before="20" w:after="20"/>
              <w:jc w:val="left"/>
            </w:pPr>
            <w:r>
              <w:rPr>
                <w:color w:val="000000"/>
                <w:sz w:val="18"/>
              </w:rPr>
              <w:t>I feel dizzy when I stand up</w:t>
            </w:r>
          </w:p>
        </w:tc>
        <w:tc>
          <w:tcPr>
            <w:tcW w:w="1927" w:type="dxa"/>
            <w:vAlign w:val="center"/>
          </w:tcPr>
          <w:p>
            <w:pPr>
              <w:spacing w:before="20" w:after="20"/>
              <w:jc w:val="left"/>
            </w:pPr>
            <w:r>
              <w:rPr>
                <w:color w:val="000000"/>
                <w:sz w:val="18"/>
              </w:rPr>
              <w:t>Safety-ambiguous</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11</w:t>
            </w:r>
          </w:p>
        </w:tc>
        <w:tc>
          <w:tcPr>
            <w:tcW w:w="1020" w:type="dxa"/>
            <w:vAlign w:val="center"/>
          </w:tcPr>
          <w:p>
            <w:pPr>
              <w:spacing w:before="20" w:after="20"/>
              <w:jc w:val="left"/>
            </w:pPr>
            <w:r>
              <w:rPr>
                <w:color w:val="000000"/>
                <w:sz w:val="18"/>
              </w:rPr>
              <w:t>Priya</w:t>
            </w:r>
          </w:p>
        </w:tc>
        <w:tc>
          <w:tcPr>
            <w:tcW w:w="3969" w:type="dxa"/>
            <w:vAlign w:val="center"/>
          </w:tcPr>
          <w:p>
            <w:pPr>
              <w:spacing w:before="20" w:after="20"/>
              <w:jc w:val="left"/>
            </w:pPr>
            <w:r>
              <w:rPr>
                <w:color w:val="000000"/>
                <w:sz w:val="18"/>
              </w:rPr>
              <w:t>How is my balance lately?</w:t>
            </w:r>
          </w:p>
        </w:tc>
        <w:tc>
          <w:tcPr>
            <w:tcW w:w="1927" w:type="dxa"/>
            <w:vAlign w:val="center"/>
          </w:tcPr>
          <w:p>
            <w:pPr>
              <w:spacing w:before="20" w:after="20"/>
              <w:jc w:val="left"/>
            </w:pPr>
            <w:r>
              <w:rPr>
                <w:color w:val="000000"/>
                <w:sz w:val="18"/>
              </w:rPr>
              <w:t>Fall risk</w:t>
            </w:r>
          </w:p>
        </w:tc>
        <w:tc>
          <w:tcPr>
            <w:tcW w:w="1360" w:type="dxa"/>
            <w:vAlign w:val="center"/>
          </w:tcPr>
          <w:p>
            <w:pPr>
              <w:spacing w:before="20" w:after="20"/>
              <w:jc w:val="left"/>
            </w:pPr>
            <w:r>
              <w:rPr>
                <w:color w:val="000000"/>
                <w:sz w:val="18"/>
              </w:rPr>
              <w:t>No</w:t>
            </w:r>
          </w:p>
        </w:tc>
      </w:tr>
    </w:tbl>
    <w:p>
      <w:pPr>
        <w:spacing w:before="0" w:after="120"/>
      </w:pPr>
    </w:p>
    <w:p>
      <w:pPr>
        <w:spacing w:after="160" w:line="360" w:lineRule="auto"/>
        <w:ind w:firstLine="0"/>
        <w:jc w:val="both"/>
      </w:pPr>
      <w:r>
        <w:rPr>
          <w:color w:val="000000"/>
        </w:rPr>
        <w:t>The metrics are emergency recall and false-alarm rate; strict numeric grounding on personal queries, computed with the same scorer against the true patient data for every version; disclosure of stale data; the number of data streams fetched; self-verification before and after correction; and latency.</w:t>
      </w:r>
    </w:p>
    <w:p>
      <w:pPr>
        <w:keepNext/>
        <w:spacing w:before="320" w:after="120"/>
      </w:pPr>
      <w:r>
        <w:rPr>
          <w:b/>
          <w:color w:val="000000"/>
          <w:sz w:val="28"/>
        </w:rPr>
        <w:t>3.8 Algorithm</w:t>
      </w:r>
    </w:p>
    <w:p>
      <w:pPr>
        <w:spacing w:after="160" w:line="360" w:lineRule="auto"/>
        <w:ind w:firstLine="0"/>
        <w:jc w:val="both"/>
      </w:pPr>
      <w:r>
        <w:rPr>
          <w:color w:val="000000"/>
        </w:rPr>
        <w:t>The computation of the Fall Risk Score is summarised below.</w:t>
      </w:r>
    </w:p>
    <w:p>
      <w:pPr>
        <w:keepLines/>
        <w:spacing w:before="0" w:after="0"/>
        <w:ind w:left="360"/>
      </w:pPr>
      <w:r>
        <w:rPr>
          <w:rFonts w:ascii="Courier New" w:hAnsi="Courier New" w:eastAsia="Courier New" w:cs="Courier New"/>
          <w:sz w:val="16"/>
        </w:rPr>
        <w:t>Algorithm 1: Fall Risk Score for user u on date d0</w:t>
      </w:r>
    </w:p>
    <w:p>
      <w:pPr>
        <w:keepLines/>
        <w:spacing w:before="0" w:after="0"/>
        <w:ind w:left="360"/>
      </w:pPr>
      <w:r>
        <w:rPr>
          <w:rFonts w:ascii="Courier New" w:hAnsi="Courier New" w:eastAsia="Courier New" w:cs="Courier New"/>
          <w:sz w:val="16"/>
        </w:rPr>
        <w:t>Input : daily rows of u (45 days), cycle logs, fall events (366 days)</w:t>
      </w:r>
    </w:p>
    <w:p>
      <w:pPr>
        <w:keepLines/>
        <w:spacing w:before="0" w:after="0"/>
        <w:ind w:left="360"/>
      </w:pPr>
      <w:r>
        <w:rPr>
          <w:rFonts w:ascii="Courier New" w:hAnsi="Courier New" w:eastAsia="Courier New" w:cs="Courier New"/>
          <w:sz w:val="16"/>
        </w:rPr>
        <w:t>Output: FRS, tier, Q, contributions</w:t>
      </w:r>
    </w:p>
    <w:p>
      <w:pPr>
        <w:keepLines/>
        <w:spacing w:before="0" w:after="0"/>
        <w:ind w:left="360"/>
      </w:pPr>
      <w:r>
        <w:rPr>
          <w:rFonts w:ascii="Courier New" w:hAnsi="Courier New" w:eastAsia="Courier New" w:cs="Courier New"/>
          <w:sz w:val="16"/>
        </w:rPr>
        <w:t>1  for each feature k in {HRV, RHR, SpO2, Temp, Sleep, SleepScore, Stress, Steps}:</w:t>
      </w:r>
    </w:p>
    <w:p>
      <w:pPr>
        <w:keepLines/>
        <w:spacing w:before="0" w:after="0"/>
        <w:ind w:left="360"/>
      </w:pPr>
      <w:r>
        <w:rPr>
          <w:rFonts w:ascii="Courier New" w:hAnsi="Courier New" w:eastAsia="Courier New" w:cs="Courier New"/>
          <w:sz w:val="16"/>
        </w:rPr>
        <w:t>2      x_k &lt;- latest value on or before d0 (missing if older than 7 days)</w:t>
      </w:r>
    </w:p>
    <w:p>
      <w:pPr>
        <w:keepLines/>
        <w:spacing w:before="0" w:after="0"/>
        <w:ind w:left="360"/>
      </w:pPr>
      <w:r>
        <w:rPr>
          <w:rFonts w:ascii="Courier New" w:hAnsi="Courier New" w:eastAsia="Courier New" w:cs="Courier New"/>
          <w:sz w:val="16"/>
        </w:rPr>
        <w:t>3      H_k &lt;- values in the 28 days before that date   (need &gt;= 7)</w:t>
      </w:r>
    </w:p>
    <w:p>
      <w:pPr>
        <w:keepLines/>
        <w:spacing w:before="0" w:after="0"/>
        <w:ind w:left="360"/>
      </w:pPr>
      <w:r>
        <w:rPr>
          <w:rFonts w:ascii="Courier New" w:hAnsi="Courier New" w:eastAsia="Courier New" w:cs="Courier New"/>
          <w:sz w:val="16"/>
        </w:rPr>
        <w:t>4      if cycle-eligible and k in {HRV, RHR, Temp}:</w:t>
      </w:r>
    </w:p>
    <w:p>
      <w:pPr>
        <w:keepLines/>
        <w:spacing w:before="0" w:after="0"/>
        <w:ind w:left="360"/>
      </w:pPr>
      <w:r>
        <w:rPr>
          <w:rFonts w:ascii="Courier New" w:hAnsi="Courier New" w:eastAsia="Courier New" w:cs="Courier New"/>
          <w:sz w:val="16"/>
        </w:rPr>
        <w:t>5          H_k &lt;- same-phase days of H_k (if &gt;= 5), else apply luteal offsets</w:t>
      </w:r>
    </w:p>
    <w:p>
      <w:pPr>
        <w:keepLines/>
        <w:spacing w:before="0" w:after="0"/>
        <w:ind w:left="360"/>
      </w:pPr>
      <w:r>
        <w:rPr>
          <w:rFonts w:ascii="Courier New" w:hAnsi="Courier New" w:eastAsia="Courier New" w:cs="Courier New"/>
          <w:sz w:val="16"/>
        </w:rPr>
        <w:t>6      m_k &lt;- median(H_k);  s_k &lt;- max(1.4826 * MAD(H_k), minScale_k)</w:t>
      </w:r>
    </w:p>
    <w:p>
      <w:pPr>
        <w:keepLines/>
        <w:spacing w:before="0" w:after="0"/>
        <w:ind w:left="360"/>
      </w:pPr>
      <w:r>
        <w:rPr>
          <w:rFonts w:ascii="Courier New" w:hAnsi="Courier New" w:eastAsia="Courier New" w:cs="Courier New"/>
          <w:sz w:val="16"/>
        </w:rPr>
        <w:t>7      z_k &lt;- direction_k * (x_k - m_k) / s_k</w:t>
      </w:r>
    </w:p>
    <w:p>
      <w:pPr>
        <w:keepLines/>
        <w:spacing w:before="0" w:after="0"/>
        <w:ind w:left="360"/>
      </w:pPr>
      <w:r>
        <w:rPr>
          <w:rFonts w:ascii="Courier New" w:hAnsi="Courier New" w:eastAsia="Courier New" w:cs="Courier New"/>
          <w:sz w:val="16"/>
        </w:rPr>
        <w:t>8      strain_k &lt;- 100 * clip((z_k - 0.5) / 2.5, 0, 1)   (+ SpO2 floor)</w:t>
      </w:r>
    </w:p>
    <w:p>
      <w:pPr>
        <w:keepLines/>
        <w:spacing w:before="0" w:after="0"/>
        <w:ind w:left="360"/>
      </w:pPr>
      <w:r>
        <w:rPr>
          <w:rFonts w:ascii="Courier New" w:hAnsi="Courier New" w:eastAsia="Courier New" w:cs="Courier New"/>
          <w:sz w:val="16"/>
        </w:rPr>
        <w:t>9  nearStrain &lt;- min(100, 50 * nearFalls14d);  R_FH &lt;- {0, 60, 100}[falls365d]</w:t>
      </w:r>
    </w:p>
    <w:p>
      <w:pPr>
        <w:keepLines/>
        <w:spacing w:before="0" w:after="0"/>
        <w:ind w:left="360"/>
      </w:pPr>
      <w:r>
        <w:rPr>
          <w:rFonts w:ascii="Courier New" w:hAnsi="Courier New" w:eastAsia="Courier New" w:cs="Courier New"/>
          <w:sz w:val="16"/>
        </w:rPr>
        <w:t>10 for each layer L in {P, RC, MO}:</w:t>
      </w:r>
    </w:p>
    <w:p>
      <w:pPr>
        <w:keepLines/>
        <w:spacing w:before="0" w:after="0"/>
        <w:ind w:left="360"/>
      </w:pPr>
      <w:r>
        <w:rPr>
          <w:rFonts w:ascii="Courier New" w:hAnsi="Courier New" w:eastAsia="Courier New" w:cs="Courier New"/>
          <w:sz w:val="16"/>
        </w:rPr>
        <w:t>11     R_L &lt;- sum(w_k * strain_k) / p_L;   c_L &lt;- p_L / W_L</w:t>
      </w:r>
    </w:p>
    <w:p>
      <w:pPr>
        <w:keepLines/>
        <w:spacing w:before="0" w:after="0"/>
        <w:ind w:left="360"/>
      </w:pPr>
      <w:r>
        <w:rPr>
          <w:rFonts w:ascii="Courier New" w:hAnsi="Courier New" w:eastAsia="Courier New" w:cs="Courier New"/>
          <w:sz w:val="16"/>
        </w:rPr>
        <w:t>12 lambda_L &lt;- ln(ratio_L) / sum_j ln(ratio_j)      (FH 2.8, MO 2.1, P 1.73, RC 1.27)</w:t>
      </w:r>
    </w:p>
    <w:p>
      <w:pPr>
        <w:keepLines/>
        <w:spacing w:before="0" w:after="0"/>
        <w:ind w:left="360"/>
      </w:pPr>
      <w:r>
        <w:rPr>
          <w:rFonts w:ascii="Courier New" w:hAnsi="Courier New" w:eastAsia="Courier New" w:cs="Courier New"/>
          <w:sz w:val="16"/>
        </w:rPr>
        <w:t>13 lambda'_L &lt;- lambda_L * c_L / sum_j lambda_j * c_j</w:t>
      </w:r>
    </w:p>
    <w:p>
      <w:pPr>
        <w:keepLines/>
        <w:spacing w:before="0" w:after="0"/>
        <w:ind w:left="360"/>
      </w:pPr>
      <w:r>
        <w:rPr>
          <w:rFonts w:ascii="Courier New" w:hAnsi="Courier New" w:eastAsia="Courier New" w:cs="Courier New"/>
          <w:sz w:val="16"/>
        </w:rPr>
        <w:t>14 FRS &lt;- round(sum_L lambda'_L * R_L);  tier &lt;- LOW | MODERATE | HIGH (40, 70)</w:t>
      </w:r>
    </w:p>
    <w:p>
      <w:pPr>
        <w:keepLines/>
        <w:spacing w:before="0" w:after="0"/>
        <w:ind w:left="360"/>
      </w:pPr>
      <w:r>
        <w:rPr>
          <w:rFonts w:ascii="Courier New" w:hAnsi="Courier New" w:eastAsia="Courier New" w:cs="Courier New"/>
          <w:sz w:val="16"/>
        </w:rPr>
        <w:t>15 Q &lt;- 100 * sum_L lambda_L * c_L - staleness penalty</w:t>
      </w:r>
    </w:p>
    <w:p>
      <w:pPr>
        <w:keepLines/>
        <w:spacing w:before="0" w:after="0"/>
        <w:ind w:left="360"/>
      </w:pPr>
      <w:r>
        <w:rPr>
          <w:rFonts w:ascii="Courier New" w:hAnsi="Courier New" w:eastAsia="Courier New" w:cs="Courier New"/>
          <w:sz w:val="16"/>
        </w:rPr>
        <w:t>16 points_k &lt;- lambda'_L * (w_k / p_L) * strain_k     (sum of points = FRS)</w:t>
      </w:r>
    </w:p>
    <w:p>
      <w:pPr>
        <w:keepLines/>
        <w:spacing w:before="0" w:after="0"/>
        <w:ind w:left="360"/>
      </w:pPr>
      <w:r>
        <w:rPr>
          <w:rFonts w:ascii="Courier New" w:hAnsi="Courier New" w:eastAsia="Courier New" w:cs="Courier New"/>
          <w:sz w:val="16"/>
        </w:rPr>
        <w:t>17 return FRS, tier, Q, points</w:t>
      </w:r>
    </w:p>
    <w:p>
      <w:pPr>
        <w:spacing w:before="0" w:after="160"/>
      </w:pPr>
    </w:p>
    <w:p>
      <w:pPr>
        <w:keepNext/>
        <w:spacing w:before="320" w:after="120"/>
      </w:pPr>
      <w:r>
        <w:rPr>
          <w:b/>
          <w:color w:val="000000"/>
          <w:sz w:val="28"/>
        </w:rPr>
        <w:t>3.9 Tools and Technologies</w:t>
      </w:r>
    </w:p>
    <w:p>
      <w:pPr>
        <w:keepNext/>
        <w:spacing w:before="200" w:after="80"/>
        <w:jc w:val="center"/>
      </w:pPr>
      <w:r>
        <w:rPr>
          <w:i/>
          <w:color w:val="000000"/>
          <w:sz w:val="22"/>
        </w:rPr>
        <w:t>Table 3.6: Software, services and hardware used in the project</w:t>
      </w:r>
    </w:p>
    <w:tbl>
      <w:tblPr>
        <w:tblStyle w:val="TableGrid"/>
        <w:tblW w:w="8788" w:type="dxa"/>
        <w:jc w:val="center"/>
        <w:tblLayout w:type="fixed"/>
        <w:tblLook w:firstColumn="1" w:firstRow="1" w:lastColumn="0" w:lastRow="0" w:noHBand="0" w:noVBand="1" w:val="04A0"/>
      </w:tblPr>
      <w:tblGrid>
        <w:gridCol w:w="2835"/>
        <w:gridCol w:w="5953"/>
      </w:tblGrid>
      <w:tr>
        <w:trPr>
          <w:cantSplit/>
          <w:tblHeader/>
        </w:trPr>
        <w:tc>
          <w:tcPr>
            <w:tcW w:w="2835" w:type="dxa"/>
            <w:shd w:val="clear" w:color="auto" w:fill="E7E6E6"/>
            <w:vAlign w:val="center"/>
          </w:tcPr>
          <w:p>
            <w:pPr>
              <w:spacing w:before="20" w:after="20"/>
              <w:jc w:val="center"/>
            </w:pPr>
            <w:r>
              <w:rPr>
                <w:b/>
                <w:color w:val="000000"/>
                <w:sz w:val="20"/>
              </w:rPr>
              <w:t>Component</w:t>
            </w:r>
          </w:p>
        </w:tc>
        <w:tc>
          <w:tcPr>
            <w:tcW w:w="5953" w:type="dxa"/>
            <w:shd w:val="clear" w:color="auto" w:fill="E7E6E6"/>
            <w:vAlign w:val="center"/>
          </w:tcPr>
          <w:p>
            <w:pPr>
              <w:spacing w:before="20" w:after="20"/>
              <w:jc w:val="center"/>
            </w:pPr>
            <w:r>
              <w:rPr>
                <w:b/>
                <w:color w:val="000000"/>
                <w:sz w:val="20"/>
              </w:rPr>
              <w:t>Technology</w:t>
            </w:r>
          </w:p>
        </w:tc>
      </w:tr>
      <w:tr>
        <w:trPr>
          <w:cantSplit/>
        </w:trPr>
        <w:tc>
          <w:tcPr>
            <w:tcW w:w="2835" w:type="dxa"/>
            <w:vAlign w:val="center"/>
          </w:tcPr>
          <w:p>
            <w:pPr>
              <w:spacing w:before="20" w:after="20"/>
              <w:jc w:val="left"/>
            </w:pPr>
            <w:r>
              <w:rPr>
                <w:color w:val="000000"/>
                <w:sz w:val="20"/>
              </w:rPr>
              <w:t>Wearable</w:t>
            </w:r>
          </w:p>
        </w:tc>
        <w:tc>
          <w:tcPr>
            <w:tcW w:w="5953" w:type="dxa"/>
            <w:vAlign w:val="center"/>
          </w:tcPr>
          <w:p>
            <w:pPr>
              <w:spacing w:before="20" w:after="20"/>
              <w:jc w:val="left"/>
            </w:pPr>
            <w:r>
              <w:rPr>
                <w:color w:val="000000"/>
                <w:sz w:val="20"/>
              </w:rPr>
              <w:t>Commercial BLE smart ring (PPG, skin temperature) with vendor Android SDK</w:t>
            </w:r>
          </w:p>
        </w:tc>
      </w:tr>
      <w:tr>
        <w:trPr>
          <w:cantSplit/>
        </w:trPr>
        <w:tc>
          <w:tcPr>
            <w:tcW w:w="2835" w:type="dxa"/>
            <w:vAlign w:val="center"/>
          </w:tcPr>
          <w:p>
            <w:pPr>
              <w:spacing w:before="20" w:after="20"/>
              <w:jc w:val="left"/>
            </w:pPr>
            <w:r>
              <w:rPr>
                <w:color w:val="000000"/>
                <w:sz w:val="20"/>
              </w:rPr>
              <w:t>Mobile application</w:t>
            </w:r>
          </w:p>
        </w:tc>
        <w:tc>
          <w:tcPr>
            <w:tcW w:w="5953" w:type="dxa"/>
            <w:vAlign w:val="center"/>
          </w:tcPr>
          <w:p>
            <w:pPr>
              <w:spacing w:before="20" w:after="20"/>
              <w:jc w:val="left"/>
            </w:pPr>
            <w:r>
              <w:rPr>
                <w:color w:val="000000"/>
                <w:sz w:val="20"/>
              </w:rPr>
              <w:t>Flutter 3 (Dart), Kotlin native modules, Room (SQLite), Android foreground service</w:t>
            </w:r>
          </w:p>
        </w:tc>
      </w:tr>
      <w:tr>
        <w:trPr>
          <w:cantSplit/>
        </w:trPr>
        <w:tc>
          <w:tcPr>
            <w:tcW w:w="2835" w:type="dxa"/>
            <w:vAlign w:val="center"/>
          </w:tcPr>
          <w:p>
            <w:pPr>
              <w:spacing w:before="20" w:after="20"/>
              <w:jc w:val="left"/>
            </w:pPr>
            <w:r>
              <w:rPr>
                <w:color w:val="000000"/>
                <w:sz w:val="20"/>
              </w:rPr>
              <w:t>Database and authentication</w:t>
            </w:r>
          </w:p>
        </w:tc>
        <w:tc>
          <w:tcPr>
            <w:tcW w:w="5953" w:type="dxa"/>
            <w:vAlign w:val="center"/>
          </w:tcPr>
          <w:p>
            <w:pPr>
              <w:spacing w:before="20" w:after="20"/>
              <w:jc w:val="left"/>
            </w:pPr>
            <w:r>
              <w:rPr>
                <w:color w:val="000000"/>
                <w:sz w:val="20"/>
              </w:rPr>
              <w:t>Supabase (hosted PostgreSQL database with JWT authentication)</w:t>
            </w:r>
          </w:p>
        </w:tc>
      </w:tr>
      <w:tr>
        <w:trPr>
          <w:cantSplit/>
        </w:trPr>
        <w:tc>
          <w:tcPr>
            <w:tcW w:w="2835" w:type="dxa"/>
            <w:vAlign w:val="center"/>
          </w:tcPr>
          <w:p>
            <w:pPr>
              <w:spacing w:before="20" w:after="20"/>
              <w:jc w:val="left"/>
            </w:pPr>
            <w:r>
              <w:rPr>
                <w:color w:val="000000"/>
                <w:sz w:val="20"/>
              </w:rPr>
              <w:t>Backend</w:t>
            </w:r>
          </w:p>
        </w:tc>
        <w:tc>
          <w:tcPr>
            <w:tcW w:w="5953" w:type="dxa"/>
            <w:vAlign w:val="center"/>
          </w:tcPr>
          <w:p>
            <w:pPr>
              <w:spacing w:before="20" w:after="20"/>
              <w:jc w:val="left"/>
            </w:pPr>
            <w:r>
              <w:rPr>
                <w:color w:val="000000"/>
                <w:sz w:val="20"/>
              </w:rPr>
              <w:t>Python 3, FastAPI, Uvicorn, LangGraph / LangChain, Supabase client</w:t>
            </w:r>
          </w:p>
        </w:tc>
      </w:tr>
      <w:tr>
        <w:trPr>
          <w:cantSplit/>
        </w:trPr>
        <w:tc>
          <w:tcPr>
            <w:tcW w:w="2835" w:type="dxa"/>
            <w:vAlign w:val="center"/>
          </w:tcPr>
          <w:p>
            <w:pPr>
              <w:spacing w:before="20" w:after="20"/>
              <w:jc w:val="left"/>
            </w:pPr>
            <w:r>
              <w:rPr>
                <w:color w:val="000000"/>
                <w:sz w:val="20"/>
              </w:rPr>
              <w:t>Large language model</w:t>
            </w:r>
          </w:p>
        </w:tc>
        <w:tc>
          <w:tcPr>
            <w:tcW w:w="5953" w:type="dxa"/>
            <w:vAlign w:val="center"/>
          </w:tcPr>
          <w:p>
            <w:pPr>
              <w:spacing w:before="20" w:after="20"/>
              <w:jc w:val="left"/>
            </w:pPr>
            <w:r>
              <w:rPr>
                <w:color w:val="000000"/>
                <w:sz w:val="20"/>
              </w:rPr>
              <w:t>openai/gpt-oss-120b served by Groq (temperature 0.1)</w:t>
            </w:r>
          </w:p>
        </w:tc>
      </w:tr>
      <w:tr>
        <w:trPr>
          <w:cantSplit/>
        </w:trPr>
        <w:tc>
          <w:tcPr>
            <w:tcW w:w="2835" w:type="dxa"/>
            <w:vAlign w:val="center"/>
          </w:tcPr>
          <w:p>
            <w:pPr>
              <w:spacing w:before="20" w:after="20"/>
              <w:jc w:val="left"/>
            </w:pPr>
            <w:r>
              <w:rPr>
                <w:color w:val="000000"/>
                <w:sz w:val="20"/>
              </w:rPr>
              <w:t>Signal processing and statistics</w:t>
            </w:r>
          </w:p>
        </w:tc>
        <w:tc>
          <w:tcPr>
            <w:tcW w:w="5953" w:type="dxa"/>
            <w:vAlign w:val="center"/>
          </w:tcPr>
          <w:p>
            <w:pPr>
              <w:spacing w:before="20" w:after="20"/>
              <w:jc w:val="left"/>
            </w:pPr>
            <w:r>
              <w:rPr>
                <w:color w:val="000000"/>
                <w:sz w:val="20"/>
              </w:rPr>
              <w:t>NumPy, SciPy, scikit-learn, pandas, WFDB (PhysioNet reader)</w:t>
            </w:r>
          </w:p>
        </w:tc>
      </w:tr>
      <w:tr>
        <w:trPr>
          <w:cantSplit/>
        </w:trPr>
        <w:tc>
          <w:tcPr>
            <w:tcW w:w="2835" w:type="dxa"/>
            <w:vAlign w:val="center"/>
          </w:tcPr>
          <w:p>
            <w:pPr>
              <w:spacing w:before="20" w:after="20"/>
              <w:jc w:val="left"/>
            </w:pPr>
            <w:r>
              <w:rPr>
                <w:color w:val="000000"/>
                <w:sz w:val="20"/>
              </w:rPr>
              <w:t>Testing and CI</w:t>
            </w:r>
          </w:p>
        </w:tc>
        <w:tc>
          <w:tcPr>
            <w:tcW w:w="5953" w:type="dxa"/>
            <w:vAlign w:val="center"/>
          </w:tcPr>
          <w:p>
            <w:pPr>
              <w:spacing w:before="20" w:after="20"/>
              <w:jc w:val="left"/>
            </w:pPr>
            <w:r>
              <w:rPr>
                <w:color w:val="000000"/>
                <w:sz w:val="20"/>
              </w:rPr>
              <w:t>pytest (123 backend tests), Flutter test (122 app tests), GitHub Actions APK build</w:t>
            </w:r>
          </w:p>
        </w:tc>
      </w:tr>
      <w:tr>
        <w:trPr>
          <w:cantSplit/>
        </w:trPr>
        <w:tc>
          <w:tcPr>
            <w:tcW w:w="2835" w:type="dxa"/>
            <w:vAlign w:val="center"/>
          </w:tcPr>
          <w:p>
            <w:pPr>
              <w:spacing w:before="20" w:after="20"/>
              <w:jc w:val="left"/>
            </w:pPr>
            <w:r>
              <w:rPr>
                <w:color w:val="000000"/>
                <w:sz w:val="20"/>
              </w:rPr>
              <w:t>Development hardware</w:t>
            </w:r>
          </w:p>
        </w:tc>
        <w:tc>
          <w:tcPr>
            <w:tcW w:w="5953" w:type="dxa"/>
            <w:vAlign w:val="center"/>
          </w:tcPr>
          <w:p>
            <w:pPr>
              <w:spacing w:before="20" w:after="20"/>
              <w:jc w:val="left"/>
            </w:pPr>
            <w:r>
              <w:rPr>
                <w:color w:val="000000"/>
                <w:sz w:val="20"/>
              </w:rPr>
              <w:t>Windows laptop running the backend; Android phone running the app</w:t>
            </w:r>
          </w:p>
        </w:tc>
      </w:tr>
    </w:tbl>
    <w:p>
      <w:pPr>
        <w:spacing w:before="0" w:after="120"/>
      </w:pPr>
    </w:p>
    <w:p>
      <w:pPr>
        <w:keepNext/>
        <w:pageBreakBefore/>
        <w:spacing w:after="80"/>
        <w:jc w:val="center"/>
      </w:pPr>
      <w:r>
        <w:rPr>
          <w:b/>
          <w:color w:val="000000"/>
          <w:sz w:val="32"/>
        </w:rPr>
        <w:t>CHAPTER 4</w:t>
      </w:r>
    </w:p>
    <w:p>
      <w:pPr>
        <w:keepNext/>
        <w:spacing w:before="40" w:after="280"/>
        <w:jc w:val="center"/>
      </w:pPr>
      <w:r>
        <w:rPr>
          <w:b/>
          <w:color w:val="000000"/>
          <w:sz w:val="32"/>
        </w:rPr>
        <w:t>Implementation, Results and Discussion</w:t>
      </w:r>
    </w:p>
    <w:p>
      <w:pPr>
        <w:keepNext/>
        <w:spacing w:before="320" w:after="120"/>
      </w:pPr>
      <w:r>
        <w:rPr>
          <w:b/>
          <w:color w:val="000000"/>
          <w:sz w:val="28"/>
        </w:rPr>
        <w:t>4.1 Implementation Overview</w:t>
      </w:r>
    </w:p>
    <w:p>
      <w:pPr>
        <w:spacing w:after="160" w:line="360" w:lineRule="auto"/>
        <w:ind w:firstLine="0"/>
        <w:jc w:val="both"/>
      </w:pPr>
      <w:r>
        <w:rPr>
          <w:color w:val="000000"/>
        </w:rPr>
        <w:t>All parts of the system described in Chapter 3 were implemented. Table 4.1 lists the main components and how each was verified. The application was reduced to the three sections required by the project (Home, AI Assist and Fall Risk); unrelated features of the earlier prototype, as well as emergency SMS and automatic calling, were removed, which shrank the Dart code base from about 63,000 to 39,000 lines.</w:t>
      </w:r>
    </w:p>
    <w:p>
      <w:pPr>
        <w:keepNext/>
        <w:spacing w:before="200" w:after="80"/>
        <w:jc w:val="center"/>
      </w:pPr>
      <w:r>
        <w:rPr>
          <w:i/>
          <w:color w:val="000000"/>
          <w:sz w:val="22"/>
        </w:rPr>
        <w:t>Table 4.1: Implemented components and their verification</w:t>
      </w:r>
    </w:p>
    <w:tbl>
      <w:tblPr>
        <w:tblStyle w:val="TableGrid"/>
        <w:tblW w:w="8845" w:type="dxa"/>
        <w:jc w:val="center"/>
        <w:tblLayout w:type="fixed"/>
        <w:tblLook w:firstColumn="1" w:firstRow="1" w:lastColumn="0" w:lastRow="0" w:noHBand="0" w:noVBand="1" w:val="04A0"/>
      </w:tblPr>
      <w:tblGrid>
        <w:gridCol w:w="2041"/>
        <w:gridCol w:w="3628"/>
        <w:gridCol w:w="3175"/>
      </w:tblGrid>
      <w:tr>
        <w:trPr>
          <w:cantSplit/>
          <w:tblHeader/>
        </w:trPr>
        <w:tc>
          <w:tcPr>
            <w:tcW w:w="2041" w:type="dxa"/>
            <w:shd w:val="clear" w:color="auto" w:fill="E7E6E6"/>
            <w:vAlign w:val="center"/>
          </w:tcPr>
          <w:p>
            <w:pPr>
              <w:spacing w:before="20" w:after="20"/>
              <w:jc w:val="center"/>
            </w:pPr>
            <w:r>
              <w:rPr>
                <w:b/>
                <w:color w:val="000000"/>
                <w:sz w:val="19"/>
              </w:rPr>
              <w:t>Component</w:t>
            </w:r>
          </w:p>
        </w:tc>
        <w:tc>
          <w:tcPr>
            <w:tcW w:w="3628" w:type="dxa"/>
            <w:shd w:val="clear" w:color="auto" w:fill="E7E6E6"/>
            <w:vAlign w:val="center"/>
          </w:tcPr>
          <w:p>
            <w:pPr>
              <w:spacing w:before="20" w:after="20"/>
              <w:jc w:val="center"/>
            </w:pPr>
            <w:r>
              <w:rPr>
                <w:b/>
                <w:color w:val="000000"/>
                <w:sz w:val="19"/>
              </w:rPr>
              <w:t>Implementation</w:t>
            </w:r>
          </w:p>
        </w:tc>
        <w:tc>
          <w:tcPr>
            <w:tcW w:w="3175" w:type="dxa"/>
            <w:shd w:val="clear" w:color="auto" w:fill="E7E6E6"/>
            <w:vAlign w:val="center"/>
          </w:tcPr>
          <w:p>
            <w:pPr>
              <w:spacing w:before="20" w:after="20"/>
              <w:jc w:val="center"/>
            </w:pPr>
            <w:r>
              <w:rPr>
                <w:b/>
                <w:color w:val="000000"/>
                <w:sz w:val="19"/>
              </w:rPr>
              <w:t>Verification</w:t>
            </w:r>
          </w:p>
        </w:tc>
      </w:tr>
      <w:tr>
        <w:trPr>
          <w:cantSplit/>
        </w:trPr>
        <w:tc>
          <w:tcPr>
            <w:tcW w:w="2041" w:type="dxa"/>
            <w:vAlign w:val="center"/>
          </w:tcPr>
          <w:p>
            <w:pPr>
              <w:spacing w:before="20" w:after="20"/>
              <w:jc w:val="left"/>
            </w:pPr>
            <w:r>
              <w:rPr>
                <w:color w:val="000000"/>
                <w:sz w:val="19"/>
              </w:rPr>
              <w:t>Ring data acquisition</w:t>
            </w:r>
          </w:p>
        </w:tc>
        <w:tc>
          <w:tcPr>
            <w:tcW w:w="3628" w:type="dxa"/>
            <w:vAlign w:val="center"/>
          </w:tcPr>
          <w:p>
            <w:pPr>
              <w:spacing w:before="20" w:after="20"/>
              <w:jc w:val="left"/>
            </w:pPr>
            <w:r>
              <w:rPr>
                <w:color w:val="000000"/>
                <w:sz w:val="19"/>
              </w:rPr>
              <w:t>Kotlin BLE plugin, adaptive measurement loop, Room store</w:t>
            </w:r>
          </w:p>
        </w:tc>
        <w:tc>
          <w:tcPr>
            <w:tcW w:w="3175" w:type="dxa"/>
            <w:vAlign w:val="center"/>
          </w:tcPr>
          <w:p>
            <w:pPr>
              <w:spacing w:before="20" w:after="20"/>
              <w:jc w:val="left"/>
            </w:pPr>
            <w:r>
              <w:rPr>
                <w:color w:val="000000"/>
                <w:sz w:val="19"/>
              </w:rPr>
              <w:t>Running on the team’s ring and phone</w:t>
            </w:r>
          </w:p>
        </w:tc>
      </w:tr>
      <w:tr>
        <w:trPr>
          <w:cantSplit/>
        </w:trPr>
        <w:tc>
          <w:tcPr>
            <w:tcW w:w="2041" w:type="dxa"/>
            <w:vAlign w:val="center"/>
          </w:tcPr>
          <w:p>
            <w:pPr>
              <w:spacing w:before="20" w:after="20"/>
              <w:jc w:val="left"/>
            </w:pPr>
            <w:r>
              <w:rPr>
                <w:color w:val="000000"/>
                <w:sz w:val="19"/>
              </w:rPr>
              <w:t>Cloud storage</w:t>
            </w:r>
          </w:p>
        </w:tc>
        <w:tc>
          <w:tcPr>
            <w:tcW w:w="3628" w:type="dxa"/>
            <w:vAlign w:val="center"/>
          </w:tcPr>
          <w:p>
            <w:pPr>
              <w:spacing w:before="20" w:after="20"/>
              <w:jc w:val="left"/>
            </w:pPr>
            <w:r>
              <w:rPr>
                <w:color w:val="000000"/>
                <w:sz w:val="19"/>
              </w:rPr>
              <w:t>Supabase tables, 5-minute batched sync</w:t>
            </w:r>
          </w:p>
        </w:tc>
        <w:tc>
          <w:tcPr>
            <w:tcW w:w="3175" w:type="dxa"/>
            <w:vAlign w:val="center"/>
          </w:tcPr>
          <w:p>
            <w:pPr>
              <w:spacing w:before="20" w:after="20"/>
              <w:jc w:val="left"/>
            </w:pPr>
            <w:r>
              <w:rPr>
                <w:color w:val="000000"/>
                <w:sz w:val="19"/>
              </w:rPr>
              <w:t>Data visible in the Supabase dashboard</w:t>
            </w:r>
          </w:p>
        </w:tc>
      </w:tr>
      <w:tr>
        <w:trPr>
          <w:cantSplit/>
        </w:trPr>
        <w:tc>
          <w:tcPr>
            <w:tcW w:w="2041" w:type="dxa"/>
            <w:vAlign w:val="center"/>
          </w:tcPr>
          <w:p>
            <w:pPr>
              <w:spacing w:before="20" w:after="20"/>
              <w:jc w:val="left"/>
            </w:pPr>
            <w:r>
              <w:rPr>
                <w:color w:val="000000"/>
                <w:sz w:val="19"/>
              </w:rPr>
              <w:t>Fall-risk engine</w:t>
            </w:r>
          </w:p>
        </w:tc>
        <w:tc>
          <w:tcPr>
            <w:tcW w:w="3628" w:type="dxa"/>
            <w:vAlign w:val="center"/>
          </w:tcPr>
          <w:p>
            <w:pPr>
              <w:spacing w:before="20" w:after="20"/>
              <w:jc w:val="left"/>
            </w:pPr>
            <w:r>
              <w:rPr>
                <w:color w:val="000000"/>
                <w:sz w:val="19"/>
              </w:rPr>
              <w:t>agent/fall_risk.py</w:t>
            </w:r>
          </w:p>
        </w:tc>
        <w:tc>
          <w:tcPr>
            <w:tcW w:w="3175" w:type="dxa"/>
            <w:vAlign w:val="center"/>
          </w:tcPr>
          <w:p>
            <w:pPr>
              <w:spacing w:before="20" w:after="20"/>
              <w:jc w:val="left"/>
            </w:pPr>
            <w:r>
              <w:rPr>
                <w:color w:val="000000"/>
                <w:sz w:val="19"/>
              </w:rPr>
              <w:t>Unit tests; contributions sum to the score</w:t>
            </w:r>
          </w:p>
        </w:tc>
      </w:tr>
      <w:tr>
        <w:trPr>
          <w:cantSplit/>
        </w:trPr>
        <w:tc>
          <w:tcPr>
            <w:tcW w:w="2041" w:type="dxa"/>
            <w:vAlign w:val="center"/>
          </w:tcPr>
          <w:p>
            <w:pPr>
              <w:spacing w:before="20" w:after="20"/>
              <w:jc w:val="left"/>
            </w:pPr>
            <w:r>
              <w:rPr>
                <w:color w:val="000000"/>
                <w:sz w:val="19"/>
              </w:rPr>
              <w:t>Gait pipeline v1–v3</w:t>
            </w:r>
          </w:p>
        </w:tc>
        <w:tc>
          <w:tcPr>
            <w:tcW w:w="3628" w:type="dxa"/>
            <w:vAlign w:val="center"/>
          </w:tcPr>
          <w:p>
            <w:pPr>
              <w:spacing w:before="20" w:after="20"/>
              <w:jc w:val="left"/>
            </w:pPr>
            <w:r>
              <w:rPr>
                <w:color w:val="000000"/>
                <w:sz w:val="19"/>
              </w:rPr>
              <w:t>agent/gait_features.py, agent/daily_gait.py</w:t>
            </w:r>
          </w:p>
        </w:tc>
        <w:tc>
          <w:tcPr>
            <w:tcW w:w="3175" w:type="dxa"/>
            <w:vAlign w:val="center"/>
          </w:tcPr>
          <w:p>
            <w:pPr>
              <w:spacing w:before="20" w:after="20"/>
              <w:jc w:val="left"/>
            </w:pPr>
            <w:r>
              <w:rPr>
                <w:color w:val="000000"/>
                <w:sz w:val="19"/>
              </w:rPr>
              <w:t>Synthetic benchmark; LTMM Experiments 1–3</w:t>
            </w:r>
          </w:p>
        </w:tc>
      </w:tr>
      <w:tr>
        <w:trPr>
          <w:cantSplit/>
        </w:trPr>
        <w:tc>
          <w:tcPr>
            <w:tcW w:w="2041" w:type="dxa"/>
            <w:vAlign w:val="center"/>
          </w:tcPr>
          <w:p>
            <w:pPr>
              <w:spacing w:before="20" w:after="20"/>
              <w:jc w:val="left"/>
            </w:pPr>
            <w:r>
              <w:rPr>
                <w:color w:val="000000"/>
                <w:sz w:val="19"/>
              </w:rPr>
              <w:t>Agent (Version D)</w:t>
            </w:r>
          </w:p>
        </w:tc>
        <w:tc>
          <w:tcPr>
            <w:tcW w:w="3628" w:type="dxa"/>
            <w:vAlign w:val="center"/>
          </w:tcPr>
          <w:p>
            <w:pPr>
              <w:spacing w:before="20" w:after="20"/>
              <w:jc w:val="left"/>
            </w:pPr>
            <w:r>
              <w:rPr>
                <w:color w:val="000000"/>
                <w:sz w:val="19"/>
              </w:rPr>
              <w:t>Router, safety fusion, grounded generation, self-verification</w:t>
            </w:r>
          </w:p>
        </w:tc>
        <w:tc>
          <w:tcPr>
            <w:tcW w:w="3175" w:type="dxa"/>
            <w:vAlign w:val="center"/>
          </w:tcPr>
          <w:p>
            <w:pPr>
              <w:spacing w:before="20" w:after="20"/>
              <w:jc w:val="left"/>
            </w:pPr>
            <w:r>
              <w:rPr>
                <w:color w:val="000000"/>
                <w:sz w:val="19"/>
              </w:rPr>
              <w:t>11-scenario evaluation; unit tests</w:t>
            </w:r>
          </w:p>
        </w:tc>
      </w:tr>
      <w:tr>
        <w:trPr>
          <w:cantSplit/>
        </w:trPr>
        <w:tc>
          <w:tcPr>
            <w:tcW w:w="2041" w:type="dxa"/>
            <w:vAlign w:val="center"/>
          </w:tcPr>
          <w:p>
            <w:pPr>
              <w:spacing w:before="20" w:after="20"/>
              <w:jc w:val="left"/>
            </w:pPr>
            <w:r>
              <w:rPr>
                <w:color w:val="000000"/>
                <w:sz w:val="19"/>
              </w:rPr>
              <w:t>Application UI</w:t>
            </w:r>
          </w:p>
        </w:tc>
        <w:tc>
          <w:tcPr>
            <w:tcW w:w="3628" w:type="dxa"/>
            <w:vAlign w:val="center"/>
          </w:tcPr>
          <w:p>
            <w:pPr>
              <w:spacing w:before="20" w:after="20"/>
              <w:jc w:val="left"/>
            </w:pPr>
            <w:r>
              <w:rPr>
                <w:color w:val="000000"/>
                <w:sz w:val="19"/>
              </w:rPr>
              <w:t>Home, AI Assist, Fall Risk and score-explanation pages</w:t>
            </w:r>
          </w:p>
        </w:tc>
        <w:tc>
          <w:tcPr>
            <w:tcW w:w="3175" w:type="dxa"/>
            <w:vAlign w:val="center"/>
          </w:tcPr>
          <w:p>
            <w:pPr>
              <w:spacing w:before="20" w:after="20"/>
              <w:jc w:val="left"/>
            </w:pPr>
            <w:r>
              <w:rPr>
                <w:color w:val="000000"/>
                <w:sz w:val="19"/>
              </w:rPr>
              <w:t>Widget tests at small widths and large text</w:t>
            </w:r>
          </w:p>
        </w:tc>
      </w:tr>
      <w:tr>
        <w:trPr>
          <w:cantSplit/>
        </w:trPr>
        <w:tc>
          <w:tcPr>
            <w:tcW w:w="2041" w:type="dxa"/>
            <w:vAlign w:val="center"/>
          </w:tcPr>
          <w:p>
            <w:pPr>
              <w:spacing w:before="20" w:after="20"/>
              <w:jc w:val="left"/>
            </w:pPr>
            <w:r>
              <w:rPr>
                <w:color w:val="000000"/>
                <w:sz w:val="19"/>
              </w:rPr>
              <w:t>Build pipeline</w:t>
            </w:r>
          </w:p>
        </w:tc>
        <w:tc>
          <w:tcPr>
            <w:tcW w:w="3628" w:type="dxa"/>
            <w:vAlign w:val="center"/>
          </w:tcPr>
          <w:p>
            <w:pPr>
              <w:spacing w:before="20" w:after="20"/>
              <w:jc w:val="left"/>
            </w:pPr>
            <w:r>
              <w:rPr>
                <w:color w:val="000000"/>
                <w:sz w:val="19"/>
              </w:rPr>
              <w:t>GitHub Actions: analyse, test, build APK</w:t>
            </w:r>
          </w:p>
        </w:tc>
        <w:tc>
          <w:tcPr>
            <w:tcW w:w="3175" w:type="dxa"/>
            <w:vAlign w:val="center"/>
          </w:tcPr>
          <w:p>
            <w:pPr>
              <w:spacing w:before="20" w:after="20"/>
              <w:jc w:val="left"/>
            </w:pPr>
            <w:r>
              <w:rPr>
                <w:color w:val="000000"/>
                <w:sz w:val="19"/>
              </w:rPr>
              <w:t>Green build; installable APK</w:t>
            </w:r>
          </w:p>
        </w:tc>
      </w:tr>
    </w:tbl>
    <w:p>
      <w:pPr>
        <w:spacing w:before="0" w:after="120"/>
      </w:pPr>
    </w:p>
    <w:p>
      <w:pPr>
        <w:keepNext/>
        <w:spacing w:before="320" w:after="120"/>
      </w:pPr>
      <w:r>
        <w:rPr>
          <w:b/>
          <w:color w:val="000000"/>
          <w:sz w:val="28"/>
        </w:rPr>
        <w:t>4.2 Evidence-Derived Layer Weights</w:t>
      </w:r>
    </w:p>
    <w:p>
      <w:pPr>
        <w:spacing w:after="160" w:line="360" w:lineRule="auto"/>
        <w:ind w:firstLine="0"/>
        <w:jc w:val="both"/>
      </w:pPr>
      <w:r>
        <w:rPr>
          <w:color w:val="000000"/>
        </w:rPr>
        <w:t>Applying Equation (3.6) to the published effect sizes gives the weights in Figure 4.1. Fall history receives the largest weight (0.402), followed by motion (0.290), physiology (0.214) and recovery (0.093). The ordering matches clinical experience — a previous fall is the strongest single predictor of the next — and was obtained without fitting any parameter to our own data.</w:t>
      </w:r>
    </w:p>
    <w:p>
      <w:pPr>
        <w:keepNext/>
        <w:spacing w:before="160" w:after="60"/>
        <w:jc w:val="center"/>
      </w:pPr>
      <w:r>
        <w:drawing>
          <wp:inline xmlns:a="http://schemas.openxmlformats.org/drawingml/2006/main" xmlns:pic="http://schemas.openxmlformats.org/drawingml/2006/picture">
            <wp:extent cx="4320000" cy="2764800"/>
            <wp:docPr id="854119974" name="Picture 854119974"/>
            <wp:cNvGraphicFramePr>
              <a:graphicFrameLocks noChangeAspect="1"/>
            </wp:cNvGraphicFramePr>
            <a:graphic>
              <a:graphicData uri="http://schemas.openxmlformats.org/drawingml/2006/picture">
                <pic:pic>
                  <pic:nvPicPr>
                    <pic:cNvPr id="0" name="evidence_weights.png"/>
                    <pic:cNvPicPr/>
                  </pic:nvPicPr>
                  <pic:blipFill>
                    <a:blip r:embed="rId23"/>
                    <a:stretch>
                      <a:fillRect/>
                    </a:stretch>
                  </pic:blipFill>
                  <pic:spPr>
                    <a:xfrm>
                      <a:off x="0" y="0"/>
                      <a:ext cx="4320000" cy="2764800"/>
                    </a:xfrm>
                    <a:prstGeom prst="rect"/>
                  </pic:spPr>
                </pic:pic>
              </a:graphicData>
            </a:graphic>
          </wp:inline>
        </w:drawing>
      </w:r>
    </w:p>
    <w:p>
      <w:pPr>
        <w:keepLines/>
        <w:spacing w:before="60" w:after="240"/>
        <w:jc w:val="center"/>
      </w:pPr>
      <w:r>
        <w:rPr>
          <w:i/>
          <w:color w:val="000000"/>
          <w:sz w:val="22"/>
        </w:rPr>
        <w:t>Figure 4.1: Evidence-derived layer weights, λ ∝ ln(published risk ratio)</w:t>
      </w:r>
    </w:p>
    <w:p>
      <w:pPr>
        <w:keepNext/>
        <w:spacing w:before="320" w:after="120"/>
      </w:pPr>
      <w:r>
        <w:rPr>
          <w:b/>
          <w:color w:val="000000"/>
          <w:sz w:val="28"/>
        </w:rPr>
        <w:t>4.3 Fall-Risk Engine on the Demonstration Cohort</w:t>
      </w:r>
    </w:p>
    <w:p>
      <w:pPr>
        <w:spacing w:after="160" w:line="360" w:lineRule="auto"/>
        <w:ind w:firstLine="0"/>
        <w:jc w:val="both"/>
      </w:pPr>
      <w:r>
        <w:rPr>
          <w:color w:val="000000"/>
        </w:rPr>
        <w:t>Table 4.2 shows the scores of the five demonstration users on the evaluation date, and Table 4.3 their layer risks and top contributors. Every user falls in the expected tier. Lakshmi, with three falls in the past year and two recent near-falls, is HIGH (71); fall history alone contributes 40.2 points. Meera is MODERATE (47), driven by one past fall and poor recovery. Ravi’s newest data is four days old, so his score is flagged as stale and his confidence drops to 70%. For the two luteal-phase users the cycle-aware baseline lowers the score (Meera 48 → 47, Priya 6 → 4).</w:t>
      </w:r>
    </w:p>
    <w:p>
      <w:pPr>
        <w:keepNext/>
        <w:spacing w:before="200" w:after="80"/>
        <w:jc w:val="center"/>
      </w:pPr>
      <w:r>
        <w:rPr>
          <w:i/>
          <w:color w:val="000000"/>
          <w:sz w:val="22"/>
        </w:rPr>
        <w:t>Table 4.2: Fall Risk Scores of the demonstration cohort</w:t>
      </w:r>
    </w:p>
    <w:tbl>
      <w:tblPr>
        <w:tblStyle w:val="TableGrid"/>
        <w:tblW w:w="9072" w:type="dxa"/>
        <w:jc w:val="center"/>
        <w:tblLayout w:type="fixed"/>
        <w:tblLook w:firstColumn="1" w:firstRow="1" w:lastColumn="0" w:lastRow="0" w:noHBand="0" w:noVBand="1" w:val="04A0"/>
      </w:tblPr>
      <w:tblGrid>
        <w:gridCol w:w="2268"/>
        <w:gridCol w:w="680"/>
        <w:gridCol w:w="1474"/>
        <w:gridCol w:w="1134"/>
        <w:gridCol w:w="737"/>
        <w:gridCol w:w="1077"/>
        <w:gridCol w:w="1701"/>
      </w:tblGrid>
      <w:tr>
        <w:trPr>
          <w:cantSplit/>
          <w:tblHeader/>
        </w:trPr>
        <w:tc>
          <w:tcPr>
            <w:tcW w:w="2268" w:type="dxa"/>
            <w:shd w:val="clear" w:color="auto" w:fill="E7E6E6"/>
            <w:vAlign w:val="center"/>
          </w:tcPr>
          <w:p>
            <w:pPr>
              <w:spacing w:before="20" w:after="20"/>
              <w:jc w:val="center"/>
            </w:pPr>
            <w:r>
              <w:rPr>
                <w:b/>
                <w:color w:val="000000"/>
                <w:sz w:val="18"/>
              </w:rPr>
              <w:t>User</w:t>
            </w:r>
          </w:p>
        </w:tc>
        <w:tc>
          <w:tcPr>
            <w:tcW w:w="680" w:type="dxa"/>
            <w:shd w:val="clear" w:color="auto" w:fill="E7E6E6"/>
            <w:vAlign w:val="center"/>
          </w:tcPr>
          <w:p>
            <w:pPr>
              <w:spacing w:before="20" w:after="20"/>
              <w:jc w:val="center"/>
            </w:pPr>
            <w:r>
              <w:rPr>
                <w:b/>
                <w:color w:val="000000"/>
                <w:sz w:val="18"/>
              </w:rPr>
              <w:t>FRS</w:t>
            </w:r>
          </w:p>
        </w:tc>
        <w:tc>
          <w:tcPr>
            <w:tcW w:w="1474" w:type="dxa"/>
            <w:shd w:val="clear" w:color="auto" w:fill="E7E6E6"/>
            <w:vAlign w:val="center"/>
          </w:tcPr>
          <w:p>
            <w:pPr>
              <w:spacing w:before="20" w:after="20"/>
              <w:jc w:val="center"/>
            </w:pPr>
            <w:r>
              <w:rPr>
                <w:b/>
                <w:color w:val="000000"/>
                <w:sz w:val="18"/>
              </w:rPr>
              <w:t>Tier</w:t>
            </w:r>
          </w:p>
        </w:tc>
        <w:tc>
          <w:tcPr>
            <w:tcW w:w="1134" w:type="dxa"/>
            <w:shd w:val="clear" w:color="auto" w:fill="E7E6E6"/>
            <w:vAlign w:val="center"/>
          </w:tcPr>
          <w:p>
            <w:pPr>
              <w:spacing w:before="20" w:after="20"/>
              <w:jc w:val="center"/>
            </w:pPr>
            <w:r>
              <w:rPr>
                <w:b/>
                <w:color w:val="000000"/>
                <w:sz w:val="18"/>
              </w:rPr>
              <w:t>Q</w:t>
            </w:r>
          </w:p>
        </w:tc>
        <w:tc>
          <w:tcPr>
            <w:tcW w:w="737" w:type="dxa"/>
            <w:shd w:val="clear" w:color="auto" w:fill="E7E6E6"/>
            <w:vAlign w:val="center"/>
          </w:tcPr>
          <w:p>
            <w:pPr>
              <w:spacing w:before="20" w:after="20"/>
              <w:jc w:val="center"/>
            </w:pPr>
            <w:r>
              <w:rPr>
                <w:b/>
                <w:color w:val="000000"/>
                <w:sz w:val="18"/>
              </w:rPr>
              <w:t>Stale</w:t>
            </w:r>
          </w:p>
        </w:tc>
        <w:tc>
          <w:tcPr>
            <w:tcW w:w="1077" w:type="dxa"/>
            <w:shd w:val="clear" w:color="auto" w:fill="E7E6E6"/>
            <w:vAlign w:val="center"/>
          </w:tcPr>
          <w:p>
            <w:pPr>
              <w:spacing w:before="20" w:after="20"/>
              <w:jc w:val="center"/>
            </w:pPr>
            <w:r>
              <w:rPr>
                <w:b/>
                <w:color w:val="000000"/>
                <w:sz w:val="18"/>
              </w:rPr>
              <w:t>Cycle phase</w:t>
            </w:r>
          </w:p>
        </w:tc>
        <w:tc>
          <w:tcPr>
            <w:tcW w:w="1701" w:type="dxa"/>
            <w:shd w:val="clear" w:color="auto" w:fill="E7E6E6"/>
            <w:vAlign w:val="center"/>
          </w:tcPr>
          <w:p>
            <w:pPr>
              <w:spacing w:before="20" w:after="20"/>
              <w:jc w:val="center"/>
            </w:pPr>
            <w:r>
              <w:rPr>
                <w:b/>
                <w:color w:val="000000"/>
                <w:sz w:val="18"/>
              </w:rPr>
              <w:t>FRS without cycle correction</w:t>
            </w:r>
          </w:p>
        </w:tc>
      </w:tr>
      <w:tr>
        <w:trPr>
          <w:cantSplit/>
        </w:trPr>
        <w:tc>
          <w:tcPr>
            <w:tcW w:w="2268" w:type="dxa"/>
            <w:vAlign w:val="center"/>
          </w:tcPr>
          <w:p>
            <w:pPr>
              <w:spacing w:before="20" w:after="20"/>
              <w:jc w:val="left"/>
            </w:pPr>
            <w:r>
              <w:rPr>
                <w:color w:val="000000"/>
                <w:sz w:val="18"/>
              </w:rPr>
              <w:t>Arun (low risk)</w:t>
            </w:r>
          </w:p>
        </w:tc>
        <w:tc>
          <w:tcPr>
            <w:tcW w:w="680" w:type="dxa"/>
            <w:vAlign w:val="center"/>
          </w:tcPr>
          <w:p>
            <w:pPr>
              <w:spacing w:before="20" w:after="20"/>
              <w:jc w:val="center"/>
            </w:pPr>
            <w:r>
              <w:rPr>
                <w:color w:val="000000"/>
                <w:sz w:val="18"/>
              </w:rPr>
              <w:t>6</w:t>
            </w:r>
          </w:p>
        </w:tc>
        <w:tc>
          <w:tcPr>
            <w:tcW w:w="1474" w:type="dxa"/>
            <w:vAlign w:val="center"/>
          </w:tcPr>
          <w:p>
            <w:pPr>
              <w:spacing w:before="20" w:after="20"/>
              <w:jc w:val="center"/>
            </w:pPr>
            <w:r>
              <w:rPr>
                <w:color w:val="000000"/>
                <w:sz w:val="18"/>
              </w:rPr>
              <w:t>LOW</w:t>
            </w:r>
          </w:p>
        </w:tc>
        <w:tc>
          <w:tcPr>
            <w:tcW w:w="1134" w:type="dxa"/>
            <w:vAlign w:val="center"/>
          </w:tcPr>
          <w:p>
            <w:pPr>
              <w:spacing w:before="20" w:after="20"/>
              <w:jc w:val="center"/>
            </w:pPr>
            <w:r>
              <w:rPr>
                <w:color w:val="000000"/>
                <w:sz w:val="18"/>
              </w:rPr>
              <w:t>100</w:t>
            </w:r>
          </w:p>
        </w:tc>
        <w:tc>
          <w:tcPr>
            <w:tcW w:w="737" w:type="dxa"/>
            <w:vAlign w:val="center"/>
          </w:tcPr>
          <w:p>
            <w:pPr>
              <w:spacing w:before="20" w:after="20"/>
              <w:jc w:val="center"/>
            </w:pPr>
            <w:r>
              <w:rPr>
                <w:color w:val="000000"/>
                <w:sz w:val="18"/>
              </w:rPr>
              <w:t>No</w:t>
            </w:r>
          </w:p>
        </w:tc>
        <w:tc>
          <w:tcPr>
            <w:tcW w:w="1077" w:type="dxa"/>
            <w:vAlign w:val="center"/>
          </w:tcPr>
          <w:p>
            <w:pPr>
              <w:spacing w:before="20" w:after="20"/>
              <w:jc w:val="center"/>
            </w:pPr>
            <w:r>
              <w:rPr>
                <w:color w:val="000000"/>
                <w:sz w:val="18"/>
              </w:rPr>
              <w:t>—</w:t>
            </w:r>
          </w:p>
        </w:tc>
        <w:tc>
          <w:tcPr>
            <w:tcW w:w="1701" w:type="dxa"/>
            <w:vAlign w:val="center"/>
          </w:tcPr>
          <w:p>
            <w:pPr>
              <w:spacing w:before="20" w:after="20"/>
              <w:jc w:val="center"/>
            </w:pPr>
            <w:r>
              <w:rPr>
                <w:color w:val="000000"/>
                <w:sz w:val="18"/>
              </w:rPr>
              <w:t>—</w:t>
            </w:r>
          </w:p>
        </w:tc>
      </w:tr>
      <w:tr>
        <w:trPr>
          <w:cantSplit/>
        </w:trPr>
        <w:tc>
          <w:tcPr>
            <w:tcW w:w="2268" w:type="dxa"/>
            <w:vAlign w:val="center"/>
          </w:tcPr>
          <w:p>
            <w:pPr>
              <w:spacing w:before="20" w:after="20"/>
              <w:jc w:val="left"/>
            </w:pPr>
            <w:r>
              <w:rPr>
                <w:color w:val="000000"/>
                <w:sz w:val="18"/>
              </w:rPr>
              <w:t>Meera (luteal + poor recovery)</w:t>
            </w:r>
          </w:p>
        </w:tc>
        <w:tc>
          <w:tcPr>
            <w:tcW w:w="680" w:type="dxa"/>
            <w:vAlign w:val="center"/>
          </w:tcPr>
          <w:p>
            <w:pPr>
              <w:spacing w:before="20" w:after="20"/>
              <w:jc w:val="center"/>
            </w:pPr>
            <w:r>
              <w:rPr>
                <w:color w:val="000000"/>
                <w:sz w:val="18"/>
              </w:rPr>
              <w:t>47</w:t>
            </w:r>
          </w:p>
        </w:tc>
        <w:tc>
          <w:tcPr>
            <w:tcW w:w="1474" w:type="dxa"/>
            <w:vAlign w:val="center"/>
          </w:tcPr>
          <w:p>
            <w:pPr>
              <w:spacing w:before="20" w:after="20"/>
              <w:jc w:val="center"/>
            </w:pPr>
            <w:r>
              <w:rPr>
                <w:color w:val="000000"/>
                <w:sz w:val="18"/>
              </w:rPr>
              <w:t>MODERATE</w:t>
            </w:r>
          </w:p>
        </w:tc>
        <w:tc>
          <w:tcPr>
            <w:tcW w:w="1134" w:type="dxa"/>
            <w:vAlign w:val="center"/>
          </w:tcPr>
          <w:p>
            <w:pPr>
              <w:spacing w:before="20" w:after="20"/>
              <w:jc w:val="center"/>
            </w:pPr>
            <w:r>
              <w:rPr>
                <w:color w:val="000000"/>
                <w:sz w:val="18"/>
              </w:rPr>
              <w:t>100</w:t>
            </w:r>
          </w:p>
        </w:tc>
        <w:tc>
          <w:tcPr>
            <w:tcW w:w="737" w:type="dxa"/>
            <w:vAlign w:val="center"/>
          </w:tcPr>
          <w:p>
            <w:pPr>
              <w:spacing w:before="20" w:after="20"/>
              <w:jc w:val="center"/>
            </w:pPr>
            <w:r>
              <w:rPr>
                <w:color w:val="000000"/>
                <w:sz w:val="18"/>
              </w:rPr>
              <w:t>No</w:t>
            </w:r>
          </w:p>
        </w:tc>
        <w:tc>
          <w:tcPr>
            <w:tcW w:w="1077" w:type="dxa"/>
            <w:vAlign w:val="center"/>
          </w:tcPr>
          <w:p>
            <w:pPr>
              <w:spacing w:before="20" w:after="20"/>
              <w:jc w:val="center"/>
            </w:pPr>
            <w:r>
              <w:rPr>
                <w:color w:val="000000"/>
                <w:sz w:val="18"/>
              </w:rPr>
              <w:t>Luteal</w:t>
            </w:r>
          </w:p>
        </w:tc>
        <w:tc>
          <w:tcPr>
            <w:tcW w:w="1701" w:type="dxa"/>
            <w:vAlign w:val="center"/>
          </w:tcPr>
          <w:p>
            <w:pPr>
              <w:spacing w:before="20" w:after="20"/>
              <w:jc w:val="center"/>
            </w:pPr>
            <w:r>
              <w:rPr>
                <w:color w:val="000000"/>
                <w:sz w:val="18"/>
              </w:rPr>
              <w:t>48</w:t>
            </w:r>
          </w:p>
        </w:tc>
      </w:tr>
      <w:tr>
        <w:trPr>
          <w:cantSplit/>
        </w:trPr>
        <w:tc>
          <w:tcPr>
            <w:tcW w:w="2268" w:type="dxa"/>
            <w:vAlign w:val="center"/>
          </w:tcPr>
          <w:p>
            <w:pPr>
              <w:spacing w:before="20" w:after="20"/>
              <w:jc w:val="left"/>
            </w:pPr>
            <w:r>
              <w:rPr>
                <w:color w:val="000000"/>
                <w:sz w:val="18"/>
              </w:rPr>
              <w:t>Ravi (stale data)</w:t>
            </w:r>
          </w:p>
        </w:tc>
        <w:tc>
          <w:tcPr>
            <w:tcW w:w="680" w:type="dxa"/>
            <w:vAlign w:val="center"/>
          </w:tcPr>
          <w:p>
            <w:pPr>
              <w:spacing w:before="20" w:after="20"/>
              <w:jc w:val="center"/>
            </w:pPr>
            <w:r>
              <w:rPr>
                <w:color w:val="000000"/>
                <w:sz w:val="18"/>
              </w:rPr>
              <w:t>3</w:t>
            </w:r>
          </w:p>
        </w:tc>
        <w:tc>
          <w:tcPr>
            <w:tcW w:w="1474" w:type="dxa"/>
            <w:vAlign w:val="center"/>
          </w:tcPr>
          <w:p>
            <w:pPr>
              <w:spacing w:before="20" w:after="20"/>
              <w:jc w:val="center"/>
            </w:pPr>
            <w:r>
              <w:rPr>
                <w:color w:val="000000"/>
                <w:sz w:val="18"/>
              </w:rPr>
              <w:t>LOW</w:t>
            </w:r>
          </w:p>
        </w:tc>
        <w:tc>
          <w:tcPr>
            <w:tcW w:w="1134" w:type="dxa"/>
            <w:vAlign w:val="center"/>
          </w:tcPr>
          <w:p>
            <w:pPr>
              <w:spacing w:before="20" w:after="20"/>
              <w:jc w:val="center"/>
            </w:pPr>
            <w:r>
              <w:rPr>
                <w:color w:val="000000"/>
                <w:sz w:val="18"/>
              </w:rPr>
              <w:t>70</w:t>
            </w:r>
          </w:p>
        </w:tc>
        <w:tc>
          <w:tcPr>
            <w:tcW w:w="737" w:type="dxa"/>
            <w:vAlign w:val="center"/>
          </w:tcPr>
          <w:p>
            <w:pPr>
              <w:spacing w:before="20" w:after="20"/>
              <w:jc w:val="center"/>
            </w:pPr>
            <w:r>
              <w:rPr>
                <w:color w:val="000000"/>
                <w:sz w:val="18"/>
              </w:rPr>
              <w:t>Yes</w:t>
            </w:r>
          </w:p>
        </w:tc>
        <w:tc>
          <w:tcPr>
            <w:tcW w:w="1077" w:type="dxa"/>
            <w:vAlign w:val="center"/>
          </w:tcPr>
          <w:p>
            <w:pPr>
              <w:spacing w:before="20" w:after="20"/>
              <w:jc w:val="center"/>
            </w:pPr>
            <w:r>
              <w:rPr>
                <w:color w:val="000000"/>
                <w:sz w:val="18"/>
              </w:rPr>
              <w:t>—</w:t>
            </w:r>
          </w:p>
        </w:tc>
        <w:tc>
          <w:tcPr>
            <w:tcW w:w="1701" w:type="dxa"/>
            <w:vAlign w:val="center"/>
          </w:tcPr>
          <w:p>
            <w:pPr>
              <w:spacing w:before="20" w:after="20"/>
              <w:jc w:val="center"/>
            </w:pPr>
            <w:r>
              <w:rPr>
                <w:color w:val="000000"/>
                <w:sz w:val="18"/>
              </w:rPr>
              <w:t>—</w:t>
            </w:r>
          </w:p>
        </w:tc>
      </w:tr>
      <w:tr>
        <w:trPr>
          <w:cantSplit/>
        </w:trPr>
        <w:tc>
          <w:tcPr>
            <w:tcW w:w="2268" w:type="dxa"/>
            <w:vAlign w:val="center"/>
          </w:tcPr>
          <w:p>
            <w:pPr>
              <w:spacing w:before="20" w:after="20"/>
              <w:jc w:val="left"/>
            </w:pPr>
            <w:r>
              <w:rPr>
                <w:color w:val="000000"/>
                <w:sz w:val="18"/>
              </w:rPr>
              <w:t>Lakshmi (recent fall)</w:t>
            </w:r>
          </w:p>
        </w:tc>
        <w:tc>
          <w:tcPr>
            <w:tcW w:w="680" w:type="dxa"/>
            <w:vAlign w:val="center"/>
          </w:tcPr>
          <w:p>
            <w:pPr>
              <w:spacing w:before="20" w:after="20"/>
              <w:jc w:val="center"/>
            </w:pPr>
            <w:r>
              <w:rPr>
                <w:color w:val="000000"/>
                <w:sz w:val="18"/>
              </w:rPr>
              <w:t>71</w:t>
            </w:r>
          </w:p>
        </w:tc>
        <w:tc>
          <w:tcPr>
            <w:tcW w:w="1474" w:type="dxa"/>
            <w:vAlign w:val="center"/>
          </w:tcPr>
          <w:p>
            <w:pPr>
              <w:spacing w:before="20" w:after="20"/>
              <w:jc w:val="center"/>
            </w:pPr>
            <w:r>
              <w:rPr>
                <w:color w:val="000000"/>
                <w:sz w:val="18"/>
              </w:rPr>
              <w:t>HIGH</w:t>
            </w:r>
          </w:p>
        </w:tc>
        <w:tc>
          <w:tcPr>
            <w:tcW w:w="1134" w:type="dxa"/>
            <w:vAlign w:val="center"/>
          </w:tcPr>
          <w:p>
            <w:pPr>
              <w:spacing w:before="20" w:after="20"/>
              <w:jc w:val="center"/>
            </w:pPr>
            <w:r>
              <w:rPr>
                <w:color w:val="000000"/>
                <w:sz w:val="18"/>
              </w:rPr>
              <w:t>100</w:t>
            </w:r>
          </w:p>
        </w:tc>
        <w:tc>
          <w:tcPr>
            <w:tcW w:w="737" w:type="dxa"/>
            <w:vAlign w:val="center"/>
          </w:tcPr>
          <w:p>
            <w:pPr>
              <w:spacing w:before="20" w:after="20"/>
              <w:jc w:val="center"/>
            </w:pPr>
            <w:r>
              <w:rPr>
                <w:color w:val="000000"/>
                <w:sz w:val="18"/>
              </w:rPr>
              <w:t>No</w:t>
            </w:r>
          </w:p>
        </w:tc>
        <w:tc>
          <w:tcPr>
            <w:tcW w:w="1077" w:type="dxa"/>
            <w:vAlign w:val="center"/>
          </w:tcPr>
          <w:p>
            <w:pPr>
              <w:spacing w:before="20" w:after="20"/>
              <w:jc w:val="center"/>
            </w:pPr>
            <w:r>
              <w:rPr>
                <w:color w:val="000000"/>
                <w:sz w:val="18"/>
              </w:rPr>
              <w:t>—</w:t>
            </w:r>
          </w:p>
        </w:tc>
        <w:tc>
          <w:tcPr>
            <w:tcW w:w="1701" w:type="dxa"/>
            <w:vAlign w:val="center"/>
          </w:tcPr>
          <w:p>
            <w:pPr>
              <w:spacing w:before="20" w:after="20"/>
              <w:jc w:val="center"/>
            </w:pPr>
            <w:r>
              <w:rPr>
                <w:color w:val="000000"/>
                <w:sz w:val="18"/>
              </w:rPr>
              <w:t>—</w:t>
            </w:r>
          </w:p>
        </w:tc>
      </w:tr>
      <w:tr>
        <w:trPr>
          <w:cantSplit/>
        </w:trPr>
        <w:tc>
          <w:tcPr>
            <w:tcW w:w="2268" w:type="dxa"/>
            <w:vAlign w:val="center"/>
          </w:tcPr>
          <w:p>
            <w:pPr>
              <w:spacing w:before="20" w:after="20"/>
              <w:jc w:val="left"/>
            </w:pPr>
            <w:r>
              <w:rPr>
                <w:color w:val="000000"/>
                <w:sz w:val="18"/>
              </w:rPr>
              <w:t>Priya (healthy luteal)</w:t>
            </w:r>
          </w:p>
        </w:tc>
        <w:tc>
          <w:tcPr>
            <w:tcW w:w="680" w:type="dxa"/>
            <w:vAlign w:val="center"/>
          </w:tcPr>
          <w:p>
            <w:pPr>
              <w:spacing w:before="20" w:after="20"/>
              <w:jc w:val="center"/>
            </w:pPr>
            <w:r>
              <w:rPr>
                <w:color w:val="000000"/>
                <w:sz w:val="18"/>
              </w:rPr>
              <w:t>4</w:t>
            </w:r>
          </w:p>
        </w:tc>
        <w:tc>
          <w:tcPr>
            <w:tcW w:w="1474" w:type="dxa"/>
            <w:vAlign w:val="center"/>
          </w:tcPr>
          <w:p>
            <w:pPr>
              <w:spacing w:before="20" w:after="20"/>
              <w:jc w:val="center"/>
            </w:pPr>
            <w:r>
              <w:rPr>
                <w:color w:val="000000"/>
                <w:sz w:val="18"/>
              </w:rPr>
              <w:t>LOW</w:t>
            </w:r>
          </w:p>
        </w:tc>
        <w:tc>
          <w:tcPr>
            <w:tcW w:w="1134" w:type="dxa"/>
            <w:vAlign w:val="center"/>
          </w:tcPr>
          <w:p>
            <w:pPr>
              <w:spacing w:before="20" w:after="20"/>
              <w:jc w:val="center"/>
            </w:pPr>
            <w:r>
              <w:rPr>
                <w:color w:val="000000"/>
                <w:sz w:val="18"/>
              </w:rPr>
              <w:t>100</w:t>
            </w:r>
          </w:p>
        </w:tc>
        <w:tc>
          <w:tcPr>
            <w:tcW w:w="737" w:type="dxa"/>
            <w:vAlign w:val="center"/>
          </w:tcPr>
          <w:p>
            <w:pPr>
              <w:spacing w:before="20" w:after="20"/>
              <w:jc w:val="center"/>
            </w:pPr>
            <w:r>
              <w:rPr>
                <w:color w:val="000000"/>
                <w:sz w:val="18"/>
              </w:rPr>
              <w:t>No</w:t>
            </w:r>
          </w:p>
        </w:tc>
        <w:tc>
          <w:tcPr>
            <w:tcW w:w="1077" w:type="dxa"/>
            <w:vAlign w:val="center"/>
          </w:tcPr>
          <w:p>
            <w:pPr>
              <w:spacing w:before="20" w:after="20"/>
              <w:jc w:val="center"/>
            </w:pPr>
            <w:r>
              <w:rPr>
                <w:color w:val="000000"/>
                <w:sz w:val="18"/>
              </w:rPr>
              <w:t>Luteal</w:t>
            </w:r>
          </w:p>
        </w:tc>
        <w:tc>
          <w:tcPr>
            <w:tcW w:w="1701" w:type="dxa"/>
            <w:vAlign w:val="center"/>
          </w:tcPr>
          <w:p>
            <w:pPr>
              <w:spacing w:before="20" w:after="20"/>
              <w:jc w:val="center"/>
            </w:pPr>
            <w:r>
              <w:rPr>
                <w:color w:val="000000"/>
                <w:sz w:val="18"/>
              </w:rPr>
              <w:t>6</w:t>
            </w:r>
          </w:p>
        </w:tc>
      </w:tr>
    </w:tbl>
    <w:p>
      <w:pPr>
        <w:spacing w:before="0" w:after="120"/>
      </w:pPr>
    </w:p>
    <w:p>
      <w:pPr>
        <w:keepNext/>
        <w:spacing w:before="200" w:after="80"/>
        <w:jc w:val="center"/>
      </w:pPr>
      <w:r>
        <w:rPr>
          <w:i/>
          <w:color w:val="000000"/>
          <w:sz w:val="22"/>
        </w:rPr>
        <w:t>Table 4.3: Layer risks (0–100) and top contributors (points)</w:t>
      </w:r>
    </w:p>
    <w:tbl>
      <w:tblPr>
        <w:tblStyle w:val="TableGrid"/>
        <w:tblW w:w="8958" w:type="dxa"/>
        <w:jc w:val="center"/>
        <w:tblLayout w:type="fixed"/>
        <w:tblLook w:firstColumn="1" w:firstRow="1" w:lastColumn="0" w:lastRow="0" w:noHBand="0" w:noVBand="1" w:val="04A0"/>
      </w:tblPr>
      <w:tblGrid>
        <w:gridCol w:w="1134"/>
        <w:gridCol w:w="737"/>
        <w:gridCol w:w="737"/>
        <w:gridCol w:w="737"/>
        <w:gridCol w:w="737"/>
        <w:gridCol w:w="4876"/>
      </w:tblGrid>
      <w:tr>
        <w:trPr>
          <w:cantSplit/>
          <w:tblHeader/>
        </w:trPr>
        <w:tc>
          <w:tcPr>
            <w:tcW w:w="1134" w:type="dxa"/>
            <w:shd w:val="clear" w:color="auto" w:fill="E7E6E6"/>
            <w:vAlign w:val="center"/>
          </w:tcPr>
          <w:p>
            <w:pPr>
              <w:spacing w:before="20" w:after="20"/>
              <w:jc w:val="center"/>
            </w:pPr>
            <w:r>
              <w:rPr>
                <w:b/>
                <w:color w:val="000000"/>
                <w:sz w:val="18"/>
              </w:rPr>
              <w:t>User</w:t>
            </w:r>
          </w:p>
        </w:tc>
        <w:tc>
          <w:tcPr>
            <w:tcW w:w="737" w:type="dxa"/>
            <w:shd w:val="clear" w:color="auto" w:fill="E7E6E6"/>
            <w:vAlign w:val="center"/>
          </w:tcPr>
          <w:p>
            <w:pPr>
              <w:spacing w:before="20" w:after="20"/>
              <w:jc w:val="center"/>
            </w:pPr>
            <w:r>
              <w:rPr>
                <w:b/>
                <w:color w:val="000000"/>
                <w:sz w:val="18"/>
              </w:rPr>
              <w:t>P</w:t>
            </w:r>
          </w:p>
        </w:tc>
        <w:tc>
          <w:tcPr>
            <w:tcW w:w="737" w:type="dxa"/>
            <w:shd w:val="clear" w:color="auto" w:fill="E7E6E6"/>
            <w:vAlign w:val="center"/>
          </w:tcPr>
          <w:p>
            <w:pPr>
              <w:spacing w:before="20" w:after="20"/>
              <w:jc w:val="center"/>
            </w:pPr>
            <w:r>
              <w:rPr>
                <w:b/>
                <w:color w:val="000000"/>
                <w:sz w:val="18"/>
              </w:rPr>
              <w:t>RC</w:t>
            </w:r>
          </w:p>
        </w:tc>
        <w:tc>
          <w:tcPr>
            <w:tcW w:w="737" w:type="dxa"/>
            <w:shd w:val="clear" w:color="auto" w:fill="E7E6E6"/>
            <w:vAlign w:val="center"/>
          </w:tcPr>
          <w:p>
            <w:pPr>
              <w:spacing w:before="20" w:after="20"/>
              <w:jc w:val="center"/>
            </w:pPr>
            <w:r>
              <w:rPr>
                <w:b/>
                <w:color w:val="000000"/>
                <w:sz w:val="18"/>
              </w:rPr>
              <w:t>MO</w:t>
            </w:r>
          </w:p>
        </w:tc>
        <w:tc>
          <w:tcPr>
            <w:tcW w:w="737" w:type="dxa"/>
            <w:shd w:val="clear" w:color="auto" w:fill="E7E6E6"/>
            <w:vAlign w:val="center"/>
          </w:tcPr>
          <w:p>
            <w:pPr>
              <w:spacing w:before="20" w:after="20"/>
              <w:jc w:val="center"/>
            </w:pPr>
            <w:r>
              <w:rPr>
                <w:b/>
                <w:color w:val="000000"/>
                <w:sz w:val="18"/>
              </w:rPr>
              <w:t>FH</w:t>
            </w:r>
          </w:p>
        </w:tc>
        <w:tc>
          <w:tcPr>
            <w:tcW w:w="4876" w:type="dxa"/>
            <w:shd w:val="clear" w:color="auto" w:fill="E7E6E6"/>
            <w:vAlign w:val="center"/>
          </w:tcPr>
          <w:p>
            <w:pPr>
              <w:spacing w:before="20" w:after="20"/>
              <w:jc w:val="center"/>
            </w:pPr>
            <w:r>
              <w:rPr>
                <w:b/>
                <w:color w:val="000000"/>
                <w:sz w:val="18"/>
              </w:rPr>
              <w:t>Top contributors</w:t>
            </w:r>
          </w:p>
        </w:tc>
      </w:tr>
      <w:tr>
        <w:trPr>
          <w:cantSplit/>
        </w:trPr>
        <w:tc>
          <w:tcPr>
            <w:tcW w:w="1134" w:type="dxa"/>
            <w:vAlign w:val="center"/>
          </w:tcPr>
          <w:p>
            <w:pPr>
              <w:spacing w:before="20" w:after="20"/>
              <w:jc w:val="left"/>
            </w:pPr>
            <w:r>
              <w:rPr>
                <w:color w:val="000000"/>
                <w:sz w:val="18"/>
              </w:rPr>
              <w:t>Arun</w:t>
            </w:r>
          </w:p>
        </w:tc>
        <w:tc>
          <w:tcPr>
            <w:tcW w:w="737" w:type="dxa"/>
            <w:vAlign w:val="center"/>
          </w:tcPr>
          <w:p>
            <w:pPr>
              <w:spacing w:before="20" w:after="20"/>
              <w:jc w:val="center"/>
            </w:pPr>
            <w:r>
              <w:rPr>
                <w:color w:val="000000"/>
                <w:sz w:val="18"/>
              </w:rPr>
              <w:t>5.0</w:t>
            </w:r>
          </w:p>
        </w:tc>
        <w:tc>
          <w:tcPr>
            <w:tcW w:w="737" w:type="dxa"/>
            <w:vAlign w:val="center"/>
          </w:tcPr>
          <w:p>
            <w:pPr>
              <w:spacing w:before="20" w:after="20"/>
              <w:jc w:val="center"/>
            </w:pPr>
            <w:r>
              <w:rPr>
                <w:color w:val="000000"/>
                <w:sz w:val="18"/>
              </w:rPr>
              <w:t>0.1</w:t>
            </w:r>
          </w:p>
        </w:tc>
        <w:tc>
          <w:tcPr>
            <w:tcW w:w="737" w:type="dxa"/>
            <w:vAlign w:val="center"/>
          </w:tcPr>
          <w:p>
            <w:pPr>
              <w:spacing w:before="20" w:after="20"/>
              <w:jc w:val="center"/>
            </w:pPr>
            <w:r>
              <w:rPr>
                <w:color w:val="000000"/>
                <w:sz w:val="18"/>
              </w:rPr>
              <w:t>18.0</w:t>
            </w:r>
          </w:p>
        </w:tc>
        <w:tc>
          <w:tcPr>
            <w:tcW w:w="737" w:type="dxa"/>
            <w:vAlign w:val="center"/>
          </w:tcPr>
          <w:p>
            <w:pPr>
              <w:spacing w:before="20" w:after="20"/>
              <w:jc w:val="center"/>
            </w:pPr>
            <w:r>
              <w:rPr>
                <w:color w:val="000000"/>
                <w:sz w:val="18"/>
              </w:rPr>
              <w:t>0.0</w:t>
            </w:r>
          </w:p>
        </w:tc>
        <w:tc>
          <w:tcPr>
            <w:tcW w:w="4876" w:type="dxa"/>
            <w:vAlign w:val="center"/>
          </w:tcPr>
          <w:p>
            <w:pPr>
              <w:spacing w:before="20" w:after="20"/>
              <w:jc w:val="left"/>
            </w:pPr>
            <w:r>
              <w:rPr>
                <w:color w:val="000000"/>
                <w:sz w:val="18"/>
              </w:rPr>
              <w:t>daily steps +5.2, SpO₂ +1.1</w:t>
            </w:r>
          </w:p>
        </w:tc>
      </w:tr>
      <w:tr>
        <w:trPr>
          <w:cantSplit/>
        </w:trPr>
        <w:tc>
          <w:tcPr>
            <w:tcW w:w="1134" w:type="dxa"/>
            <w:vAlign w:val="center"/>
          </w:tcPr>
          <w:p>
            <w:pPr>
              <w:spacing w:before="20" w:after="20"/>
              <w:jc w:val="left"/>
            </w:pPr>
            <w:r>
              <w:rPr>
                <w:color w:val="000000"/>
                <w:sz w:val="18"/>
              </w:rPr>
              <w:t>Meera</w:t>
            </w:r>
          </w:p>
        </w:tc>
        <w:tc>
          <w:tcPr>
            <w:tcW w:w="737" w:type="dxa"/>
            <w:vAlign w:val="center"/>
          </w:tcPr>
          <w:p>
            <w:pPr>
              <w:spacing w:before="20" w:after="20"/>
              <w:jc w:val="center"/>
            </w:pPr>
            <w:r>
              <w:rPr>
                <w:color w:val="000000"/>
                <w:sz w:val="18"/>
              </w:rPr>
              <w:t>61.7</w:t>
            </w:r>
          </w:p>
        </w:tc>
        <w:tc>
          <w:tcPr>
            <w:tcW w:w="737" w:type="dxa"/>
            <w:vAlign w:val="center"/>
          </w:tcPr>
          <w:p>
            <w:pPr>
              <w:spacing w:before="20" w:after="20"/>
              <w:jc w:val="center"/>
            </w:pPr>
            <w:r>
              <w:rPr>
                <w:color w:val="000000"/>
                <w:sz w:val="18"/>
              </w:rPr>
              <w:t>100.0</w:t>
            </w:r>
          </w:p>
        </w:tc>
        <w:tc>
          <w:tcPr>
            <w:tcW w:w="737" w:type="dxa"/>
            <w:vAlign w:val="center"/>
          </w:tcPr>
          <w:p>
            <w:pPr>
              <w:spacing w:before="20" w:after="20"/>
              <w:jc w:val="center"/>
            </w:pPr>
            <w:r>
              <w:rPr>
                <w:color w:val="000000"/>
                <w:sz w:val="18"/>
              </w:rPr>
              <w:t>0.0</w:t>
            </w:r>
          </w:p>
        </w:tc>
        <w:tc>
          <w:tcPr>
            <w:tcW w:w="737" w:type="dxa"/>
            <w:vAlign w:val="center"/>
          </w:tcPr>
          <w:p>
            <w:pPr>
              <w:spacing w:before="20" w:after="20"/>
              <w:jc w:val="center"/>
            </w:pPr>
            <w:r>
              <w:rPr>
                <w:color w:val="000000"/>
                <w:sz w:val="18"/>
              </w:rPr>
              <w:t>60.0</w:t>
            </w:r>
          </w:p>
        </w:tc>
        <w:tc>
          <w:tcPr>
            <w:tcW w:w="4876" w:type="dxa"/>
            <w:vAlign w:val="center"/>
          </w:tcPr>
          <w:p>
            <w:pPr>
              <w:spacing w:before="20" w:after="20"/>
              <w:jc w:val="left"/>
            </w:pPr>
            <w:r>
              <w:rPr>
                <w:color w:val="000000"/>
                <w:sz w:val="18"/>
              </w:rPr>
              <w:t>falls in past year +24.1, HRV +7.5, resting HR +4.6, sleep duration +3.7</w:t>
            </w:r>
          </w:p>
        </w:tc>
      </w:tr>
      <w:tr>
        <w:trPr>
          <w:cantSplit/>
        </w:trPr>
        <w:tc>
          <w:tcPr>
            <w:tcW w:w="1134" w:type="dxa"/>
            <w:vAlign w:val="center"/>
          </w:tcPr>
          <w:p>
            <w:pPr>
              <w:spacing w:before="20" w:after="20"/>
              <w:jc w:val="left"/>
            </w:pPr>
            <w:r>
              <w:rPr>
                <w:color w:val="000000"/>
                <w:sz w:val="18"/>
              </w:rPr>
              <w:t>Ravi</w:t>
            </w:r>
          </w:p>
        </w:tc>
        <w:tc>
          <w:tcPr>
            <w:tcW w:w="737" w:type="dxa"/>
            <w:vAlign w:val="center"/>
          </w:tcPr>
          <w:p>
            <w:pPr>
              <w:spacing w:before="20" w:after="20"/>
              <w:jc w:val="center"/>
            </w:pPr>
            <w:r>
              <w:rPr>
                <w:color w:val="000000"/>
                <w:sz w:val="18"/>
              </w:rPr>
              <w:t>6.2</w:t>
            </w:r>
          </w:p>
        </w:tc>
        <w:tc>
          <w:tcPr>
            <w:tcW w:w="737" w:type="dxa"/>
            <w:vAlign w:val="center"/>
          </w:tcPr>
          <w:p>
            <w:pPr>
              <w:spacing w:before="20" w:after="20"/>
              <w:jc w:val="center"/>
            </w:pPr>
            <w:r>
              <w:rPr>
                <w:color w:val="000000"/>
                <w:sz w:val="18"/>
              </w:rPr>
              <w:t>12.6</w:t>
            </w:r>
          </w:p>
        </w:tc>
        <w:tc>
          <w:tcPr>
            <w:tcW w:w="737" w:type="dxa"/>
            <w:vAlign w:val="center"/>
          </w:tcPr>
          <w:p>
            <w:pPr>
              <w:spacing w:before="20" w:after="20"/>
              <w:jc w:val="center"/>
            </w:pPr>
            <w:r>
              <w:rPr>
                <w:color w:val="000000"/>
                <w:sz w:val="18"/>
              </w:rPr>
              <w:t>0.0</w:t>
            </w:r>
          </w:p>
        </w:tc>
        <w:tc>
          <w:tcPr>
            <w:tcW w:w="737" w:type="dxa"/>
            <w:vAlign w:val="center"/>
          </w:tcPr>
          <w:p>
            <w:pPr>
              <w:spacing w:before="20" w:after="20"/>
              <w:jc w:val="center"/>
            </w:pPr>
            <w:r>
              <w:rPr>
                <w:color w:val="000000"/>
                <w:sz w:val="18"/>
              </w:rPr>
              <w:t>0.0</w:t>
            </w:r>
          </w:p>
        </w:tc>
        <w:tc>
          <w:tcPr>
            <w:tcW w:w="4876" w:type="dxa"/>
            <w:vAlign w:val="center"/>
          </w:tcPr>
          <w:p>
            <w:pPr>
              <w:spacing w:before="20" w:after="20"/>
              <w:jc w:val="left"/>
            </w:pPr>
            <w:r>
              <w:rPr>
                <w:color w:val="000000"/>
                <w:sz w:val="18"/>
              </w:rPr>
              <w:t>HRV +1.3, sleep duration +1.2</w:t>
            </w:r>
          </w:p>
        </w:tc>
      </w:tr>
      <w:tr>
        <w:trPr>
          <w:cantSplit/>
        </w:trPr>
        <w:tc>
          <w:tcPr>
            <w:tcW w:w="1134" w:type="dxa"/>
            <w:vAlign w:val="center"/>
          </w:tcPr>
          <w:p>
            <w:pPr>
              <w:spacing w:before="20" w:after="20"/>
              <w:jc w:val="left"/>
            </w:pPr>
            <w:r>
              <w:rPr>
                <w:color w:val="000000"/>
                <w:sz w:val="18"/>
              </w:rPr>
              <w:t>Lakshmi</w:t>
            </w:r>
          </w:p>
        </w:tc>
        <w:tc>
          <w:tcPr>
            <w:tcW w:w="737" w:type="dxa"/>
            <w:vAlign w:val="center"/>
          </w:tcPr>
          <w:p>
            <w:pPr>
              <w:spacing w:before="20" w:after="20"/>
              <w:jc w:val="center"/>
            </w:pPr>
            <w:r>
              <w:rPr>
                <w:color w:val="000000"/>
                <w:sz w:val="18"/>
              </w:rPr>
              <w:t>42.3</w:t>
            </w:r>
          </w:p>
        </w:tc>
        <w:tc>
          <w:tcPr>
            <w:tcW w:w="737" w:type="dxa"/>
            <w:vAlign w:val="center"/>
          </w:tcPr>
          <w:p>
            <w:pPr>
              <w:spacing w:before="20" w:after="20"/>
              <w:jc w:val="center"/>
            </w:pPr>
            <w:r>
              <w:rPr>
                <w:color w:val="000000"/>
                <w:sz w:val="18"/>
              </w:rPr>
              <w:t>52.0</w:t>
            </w:r>
          </w:p>
        </w:tc>
        <w:tc>
          <w:tcPr>
            <w:tcW w:w="737" w:type="dxa"/>
            <w:vAlign w:val="center"/>
          </w:tcPr>
          <w:p>
            <w:pPr>
              <w:spacing w:before="20" w:after="20"/>
              <w:jc w:val="center"/>
            </w:pPr>
            <w:r>
              <w:rPr>
                <w:color w:val="000000"/>
                <w:sz w:val="18"/>
              </w:rPr>
              <w:t>59.5</w:t>
            </w:r>
          </w:p>
        </w:tc>
        <w:tc>
          <w:tcPr>
            <w:tcW w:w="737" w:type="dxa"/>
            <w:vAlign w:val="center"/>
          </w:tcPr>
          <w:p>
            <w:pPr>
              <w:spacing w:before="20" w:after="20"/>
              <w:jc w:val="center"/>
            </w:pPr>
            <w:r>
              <w:rPr>
                <w:color w:val="000000"/>
                <w:sz w:val="18"/>
              </w:rPr>
              <w:t>100.0</w:t>
            </w:r>
          </w:p>
        </w:tc>
        <w:tc>
          <w:tcPr>
            <w:tcW w:w="4876" w:type="dxa"/>
            <w:vAlign w:val="center"/>
          </w:tcPr>
          <w:p>
            <w:pPr>
              <w:spacing w:before="20" w:after="20"/>
              <w:jc w:val="left"/>
            </w:pPr>
            <w:r>
              <w:rPr>
                <w:color w:val="000000"/>
                <w:sz w:val="18"/>
              </w:rPr>
              <w:t>falls in past year +40.2, near-falls +14.5, SpO₂ +5.4, HRV +3.7</w:t>
            </w:r>
          </w:p>
        </w:tc>
      </w:tr>
      <w:tr>
        <w:trPr>
          <w:cantSplit/>
        </w:trPr>
        <w:tc>
          <w:tcPr>
            <w:tcW w:w="1134" w:type="dxa"/>
            <w:vAlign w:val="center"/>
          </w:tcPr>
          <w:p>
            <w:pPr>
              <w:spacing w:before="20" w:after="20"/>
              <w:jc w:val="left"/>
            </w:pPr>
            <w:r>
              <w:rPr>
                <w:color w:val="000000"/>
                <w:sz w:val="18"/>
              </w:rPr>
              <w:t>Priya</w:t>
            </w:r>
          </w:p>
        </w:tc>
        <w:tc>
          <w:tcPr>
            <w:tcW w:w="737" w:type="dxa"/>
            <w:vAlign w:val="center"/>
          </w:tcPr>
          <w:p>
            <w:pPr>
              <w:spacing w:before="20" w:after="20"/>
              <w:jc w:val="center"/>
            </w:pPr>
            <w:r>
              <w:rPr>
                <w:color w:val="000000"/>
                <w:sz w:val="18"/>
              </w:rPr>
              <w:t>11.7</w:t>
            </w:r>
          </w:p>
        </w:tc>
        <w:tc>
          <w:tcPr>
            <w:tcW w:w="737" w:type="dxa"/>
            <w:vAlign w:val="center"/>
          </w:tcPr>
          <w:p>
            <w:pPr>
              <w:spacing w:before="20" w:after="20"/>
              <w:jc w:val="center"/>
            </w:pPr>
            <w:r>
              <w:rPr>
                <w:color w:val="000000"/>
                <w:sz w:val="18"/>
              </w:rPr>
              <w:t>12.5</w:t>
            </w:r>
          </w:p>
        </w:tc>
        <w:tc>
          <w:tcPr>
            <w:tcW w:w="737" w:type="dxa"/>
            <w:vAlign w:val="center"/>
          </w:tcPr>
          <w:p>
            <w:pPr>
              <w:spacing w:before="20" w:after="20"/>
              <w:jc w:val="center"/>
            </w:pPr>
            <w:r>
              <w:rPr>
                <w:color w:val="000000"/>
                <w:sz w:val="18"/>
              </w:rPr>
              <w:t>0.0</w:t>
            </w:r>
          </w:p>
        </w:tc>
        <w:tc>
          <w:tcPr>
            <w:tcW w:w="737" w:type="dxa"/>
            <w:vAlign w:val="center"/>
          </w:tcPr>
          <w:p>
            <w:pPr>
              <w:spacing w:before="20" w:after="20"/>
              <w:jc w:val="center"/>
            </w:pPr>
            <w:r>
              <w:rPr>
                <w:color w:val="000000"/>
                <w:sz w:val="18"/>
              </w:rPr>
              <w:t>0.0</w:t>
            </w:r>
          </w:p>
        </w:tc>
        <w:tc>
          <w:tcPr>
            <w:tcW w:w="4876" w:type="dxa"/>
            <w:vAlign w:val="center"/>
          </w:tcPr>
          <w:p>
            <w:pPr>
              <w:spacing w:before="20" w:after="20"/>
              <w:jc w:val="left"/>
            </w:pPr>
            <w:r>
              <w:rPr>
                <w:color w:val="000000"/>
                <w:sz w:val="18"/>
              </w:rPr>
              <w:t>HRV +2.5, sleep score +0.8, sleep duration +0.4</w:t>
            </w:r>
          </w:p>
        </w:tc>
      </w:tr>
    </w:tbl>
    <w:p>
      <w:pPr>
        <w:spacing w:before="0" w:after="120"/>
      </w:pPr>
    </w:p>
    <w:p>
      <w:pPr>
        <w:keepNext/>
        <w:spacing w:before="160" w:after="60"/>
        <w:jc w:val="center"/>
      </w:pPr>
      <w:r>
        <w:drawing>
          <wp:inline xmlns:a="http://schemas.openxmlformats.org/drawingml/2006/main" xmlns:pic="http://schemas.openxmlformats.org/drawingml/2006/picture">
            <wp:extent cx="5040000" cy="2772000"/>
            <wp:docPr id="854119975" name="Picture 854119975"/>
            <wp:cNvGraphicFramePr>
              <a:graphicFrameLocks noChangeAspect="1"/>
            </wp:cNvGraphicFramePr>
            <a:graphic>
              <a:graphicData uri="http://schemas.openxmlformats.org/drawingml/2006/picture">
                <pic:pic>
                  <pic:nvPicPr>
                    <pic:cNvPr id="0" name="fall_risk_trend.png"/>
                    <pic:cNvPicPr/>
                  </pic:nvPicPr>
                  <pic:blipFill>
                    <a:blip r:embed="rId24"/>
                    <a:stretch>
                      <a:fillRect/>
                    </a:stretch>
                  </pic:blipFill>
                  <pic:spPr>
                    <a:xfrm>
                      <a:off x="0" y="0"/>
                      <a:ext cx="5040000" cy="2772000"/>
                    </a:xfrm>
                    <a:prstGeom prst="rect"/>
                  </pic:spPr>
                </pic:pic>
              </a:graphicData>
            </a:graphic>
          </wp:inline>
        </w:drawing>
      </w:r>
    </w:p>
    <w:p>
      <w:pPr>
        <w:keepLines/>
        <w:spacing w:before="60" w:after="240"/>
        <w:jc w:val="center"/>
      </w:pPr>
      <w:r>
        <w:rPr>
          <w:i/>
          <w:color w:val="000000"/>
          <w:sz w:val="22"/>
        </w:rPr>
        <w:t>Figure 4.2: 21-day Fall Risk Score trajectory of each demonstration user</w:t>
      </w:r>
    </w:p>
    <w:p>
      <w:pPr>
        <w:keepNext/>
        <w:spacing w:before="160" w:after="60"/>
        <w:jc w:val="center"/>
      </w:pPr>
      <w:r>
        <w:drawing>
          <wp:inline xmlns:a="http://schemas.openxmlformats.org/drawingml/2006/main" xmlns:pic="http://schemas.openxmlformats.org/drawingml/2006/picture">
            <wp:extent cx="5400000" cy="2070000"/>
            <wp:docPr id="854119976" name="Picture 854119976"/>
            <wp:cNvGraphicFramePr>
              <a:graphicFrameLocks noChangeAspect="1"/>
            </wp:cNvGraphicFramePr>
            <a:graphic>
              <a:graphicData uri="http://schemas.openxmlformats.org/drawingml/2006/picture">
                <pic:pic>
                  <pic:nvPicPr>
                    <pic:cNvPr id="0" name="contribution_breakdown.png"/>
                    <pic:cNvPicPr/>
                  </pic:nvPicPr>
                  <pic:blipFill>
                    <a:blip r:embed="rId25"/>
                    <a:stretch>
                      <a:fillRect/>
                    </a:stretch>
                  </pic:blipFill>
                  <pic:spPr>
                    <a:xfrm>
                      <a:off x="0" y="0"/>
                      <a:ext cx="5400000" cy="2070000"/>
                    </a:xfrm>
                    <a:prstGeom prst="rect"/>
                  </pic:spPr>
                </pic:pic>
              </a:graphicData>
            </a:graphic>
          </wp:inline>
        </w:drawing>
      </w:r>
    </w:p>
    <w:p>
      <w:pPr>
        <w:keepLines/>
        <w:spacing w:before="60" w:after="240"/>
        <w:jc w:val="center"/>
      </w:pPr>
      <w:r>
        <w:rPr>
          <w:i/>
          <w:color w:val="000000"/>
          <w:sz w:val="22"/>
        </w:rPr>
        <w:t>Figure 4.3: Additive attribution: contributions sum exactly to the score</w:t>
      </w:r>
    </w:p>
    <w:p>
      <w:pPr>
        <w:keepNext/>
        <w:spacing w:before="320" w:after="120"/>
      </w:pPr>
      <w:r>
        <w:rPr>
          <w:b/>
          <w:color w:val="000000"/>
          <w:sz w:val="28"/>
        </w:rPr>
        <w:t>4.4 Cycle-Aware Baseline Ablation</w:t>
      </w:r>
    </w:p>
    <w:p>
      <w:pPr>
        <w:spacing w:after="160" w:line="360" w:lineRule="auto"/>
        <w:ind w:firstLine="0"/>
        <w:jc w:val="both"/>
      </w:pPr>
      <w:r>
        <w:rPr>
          <w:color w:val="000000"/>
        </w:rPr>
        <w:t>Table 4.4 and Figure 4.4 compare the physiology-layer risk with and without the cycle-aware baseline on the normal luteal days of the two cycle users. For Priya, the healthy user, the mean physiology risk on nine luteal days fell from 18.1 to 10.2, a reduction of 43.4%. For Meera, the strained user, it fell from 19.3 to 11.5 and the number of falsely flagged days dropped from two to zero. Importantly, the correction did not hide genuine strain: Meera’s last three days, when her recovery really deteriorated, remained high (63, 60 and 62). One of Priya’s days remained flagged with and without the correction, which we report as it is.</w:t>
      </w:r>
    </w:p>
    <w:p>
      <w:pPr>
        <w:keepNext/>
        <w:spacing w:before="200" w:after="80"/>
        <w:jc w:val="center"/>
      </w:pPr>
      <w:r>
        <w:rPr>
          <w:i/>
          <w:color w:val="000000"/>
          <w:sz w:val="22"/>
        </w:rPr>
        <w:t>Table 4.4: Physiology-layer risk on normal luteal days, with and without the cycle-aware baseline</w:t>
      </w:r>
    </w:p>
    <w:tbl>
      <w:tblPr>
        <w:tblStyle w:val="TableGrid"/>
        <w:tblW w:w="9015" w:type="dxa"/>
        <w:jc w:val="center"/>
        <w:tblLayout w:type="fixed"/>
        <w:tblLook w:firstColumn="1" w:firstRow="1" w:lastColumn="0" w:lastRow="0" w:noHBand="0" w:noVBand="1" w:val="04A0"/>
      </w:tblPr>
      <w:tblGrid>
        <w:gridCol w:w="1701"/>
        <w:gridCol w:w="1020"/>
        <w:gridCol w:w="1360"/>
        <w:gridCol w:w="1247"/>
        <w:gridCol w:w="1304"/>
        <w:gridCol w:w="1247"/>
        <w:gridCol w:w="1134"/>
      </w:tblGrid>
      <w:tr>
        <w:trPr>
          <w:cantSplit/>
          <w:tblHeader/>
        </w:trPr>
        <w:tc>
          <w:tcPr>
            <w:tcW w:w="1701" w:type="dxa"/>
            <w:shd w:val="clear" w:color="auto" w:fill="E7E6E6"/>
            <w:vAlign w:val="center"/>
          </w:tcPr>
          <w:p>
            <w:pPr>
              <w:spacing w:before="20" w:after="20"/>
              <w:jc w:val="center"/>
            </w:pPr>
            <w:r>
              <w:rPr>
                <w:b/>
                <w:color w:val="000000"/>
                <w:sz w:val="19"/>
              </w:rPr>
              <w:t>User</w:t>
            </w:r>
          </w:p>
        </w:tc>
        <w:tc>
          <w:tcPr>
            <w:tcW w:w="1020" w:type="dxa"/>
            <w:shd w:val="clear" w:color="auto" w:fill="E7E6E6"/>
            <w:vAlign w:val="center"/>
          </w:tcPr>
          <w:p>
            <w:pPr>
              <w:spacing w:before="20" w:after="20"/>
              <w:jc w:val="center"/>
            </w:pPr>
            <w:r>
              <w:rPr>
                <w:b/>
                <w:color w:val="000000"/>
                <w:sz w:val="19"/>
              </w:rPr>
              <w:t>Luteal days</w:t>
            </w:r>
          </w:p>
        </w:tc>
        <w:tc>
          <w:tcPr>
            <w:tcW w:w="1360" w:type="dxa"/>
            <w:shd w:val="clear" w:color="auto" w:fill="E7E6E6"/>
            <w:vAlign w:val="center"/>
          </w:tcPr>
          <w:p>
            <w:pPr>
              <w:spacing w:before="20" w:after="20"/>
              <w:jc w:val="center"/>
            </w:pPr>
            <w:r>
              <w:rPr>
                <w:b/>
                <w:color w:val="000000"/>
                <w:sz w:val="19"/>
              </w:rPr>
              <w:t>Mean risk without</w:t>
            </w:r>
          </w:p>
        </w:tc>
        <w:tc>
          <w:tcPr>
            <w:tcW w:w="1247" w:type="dxa"/>
            <w:shd w:val="clear" w:color="auto" w:fill="E7E6E6"/>
            <w:vAlign w:val="center"/>
          </w:tcPr>
          <w:p>
            <w:pPr>
              <w:spacing w:before="20" w:after="20"/>
              <w:jc w:val="center"/>
            </w:pPr>
            <w:r>
              <w:rPr>
                <w:b/>
                <w:color w:val="000000"/>
                <w:sz w:val="19"/>
              </w:rPr>
              <w:t>Mean risk with</w:t>
            </w:r>
          </w:p>
        </w:tc>
        <w:tc>
          <w:tcPr>
            <w:tcW w:w="1304" w:type="dxa"/>
            <w:shd w:val="clear" w:color="auto" w:fill="E7E6E6"/>
            <w:vAlign w:val="center"/>
          </w:tcPr>
          <w:p>
            <w:pPr>
              <w:spacing w:before="20" w:after="20"/>
              <w:jc w:val="center"/>
            </w:pPr>
            <w:r>
              <w:rPr>
                <w:b/>
                <w:color w:val="000000"/>
                <w:sz w:val="19"/>
              </w:rPr>
              <w:t>Reduction</w:t>
            </w:r>
          </w:p>
        </w:tc>
        <w:tc>
          <w:tcPr>
            <w:tcW w:w="1247" w:type="dxa"/>
            <w:shd w:val="clear" w:color="auto" w:fill="E7E6E6"/>
            <w:vAlign w:val="center"/>
          </w:tcPr>
          <w:p>
            <w:pPr>
              <w:spacing w:before="20" w:after="20"/>
              <w:jc w:val="center"/>
            </w:pPr>
            <w:r>
              <w:rPr>
                <w:b/>
                <w:color w:val="000000"/>
                <w:sz w:val="19"/>
              </w:rPr>
              <w:t>Flagged without</w:t>
            </w:r>
          </w:p>
        </w:tc>
        <w:tc>
          <w:tcPr>
            <w:tcW w:w="1134" w:type="dxa"/>
            <w:shd w:val="clear" w:color="auto" w:fill="E7E6E6"/>
            <w:vAlign w:val="center"/>
          </w:tcPr>
          <w:p>
            <w:pPr>
              <w:spacing w:before="20" w:after="20"/>
              <w:jc w:val="center"/>
            </w:pPr>
            <w:r>
              <w:rPr>
                <w:b/>
                <w:color w:val="000000"/>
                <w:sz w:val="19"/>
              </w:rPr>
              <w:t>Flagged with</w:t>
            </w:r>
          </w:p>
        </w:tc>
      </w:tr>
      <w:tr>
        <w:trPr>
          <w:cantSplit/>
        </w:trPr>
        <w:tc>
          <w:tcPr>
            <w:tcW w:w="1701" w:type="dxa"/>
            <w:vAlign w:val="center"/>
          </w:tcPr>
          <w:p>
            <w:pPr>
              <w:spacing w:before="20" w:after="20"/>
              <w:jc w:val="left"/>
            </w:pPr>
            <w:r>
              <w:rPr>
                <w:color w:val="000000"/>
                <w:sz w:val="19"/>
              </w:rPr>
              <w:t>Priya (healthy)</w:t>
            </w:r>
          </w:p>
        </w:tc>
        <w:tc>
          <w:tcPr>
            <w:tcW w:w="1020" w:type="dxa"/>
            <w:vAlign w:val="center"/>
          </w:tcPr>
          <w:p>
            <w:pPr>
              <w:spacing w:before="20" w:after="20"/>
              <w:jc w:val="center"/>
            </w:pPr>
            <w:r>
              <w:rPr>
                <w:color w:val="000000"/>
                <w:sz w:val="19"/>
              </w:rPr>
              <w:t>9</w:t>
            </w:r>
          </w:p>
        </w:tc>
        <w:tc>
          <w:tcPr>
            <w:tcW w:w="1360" w:type="dxa"/>
            <w:vAlign w:val="center"/>
          </w:tcPr>
          <w:p>
            <w:pPr>
              <w:spacing w:before="20" w:after="20"/>
              <w:jc w:val="center"/>
            </w:pPr>
            <w:r>
              <w:rPr>
                <w:color w:val="000000"/>
                <w:sz w:val="19"/>
              </w:rPr>
              <w:t>18.1</w:t>
            </w:r>
          </w:p>
        </w:tc>
        <w:tc>
          <w:tcPr>
            <w:tcW w:w="1247" w:type="dxa"/>
            <w:vAlign w:val="center"/>
          </w:tcPr>
          <w:p>
            <w:pPr>
              <w:spacing w:before="20" w:after="20"/>
              <w:jc w:val="center"/>
            </w:pPr>
            <w:r>
              <w:rPr>
                <w:color w:val="000000"/>
                <w:sz w:val="19"/>
              </w:rPr>
              <w:t>10.2</w:t>
            </w:r>
          </w:p>
        </w:tc>
        <w:tc>
          <w:tcPr>
            <w:tcW w:w="1304" w:type="dxa"/>
            <w:vAlign w:val="center"/>
          </w:tcPr>
          <w:p>
            <w:pPr>
              <w:spacing w:before="20" w:after="20"/>
              <w:jc w:val="center"/>
            </w:pPr>
            <w:r>
              <w:rPr>
                <w:color w:val="000000"/>
                <w:sz w:val="19"/>
              </w:rPr>
              <w:t>43.4%</w:t>
            </w:r>
          </w:p>
        </w:tc>
        <w:tc>
          <w:tcPr>
            <w:tcW w:w="1247" w:type="dxa"/>
            <w:vAlign w:val="center"/>
          </w:tcPr>
          <w:p>
            <w:pPr>
              <w:spacing w:before="20" w:after="20"/>
              <w:jc w:val="center"/>
            </w:pPr>
            <w:r>
              <w:rPr>
                <w:color w:val="000000"/>
                <w:sz w:val="19"/>
              </w:rPr>
              <w:t>1</w:t>
            </w:r>
          </w:p>
        </w:tc>
        <w:tc>
          <w:tcPr>
            <w:tcW w:w="1134" w:type="dxa"/>
            <w:vAlign w:val="center"/>
          </w:tcPr>
          <w:p>
            <w:pPr>
              <w:spacing w:before="20" w:after="20"/>
              <w:jc w:val="center"/>
            </w:pPr>
            <w:r>
              <w:rPr>
                <w:color w:val="000000"/>
                <w:sz w:val="19"/>
              </w:rPr>
              <w:t>1</w:t>
            </w:r>
          </w:p>
        </w:tc>
      </w:tr>
      <w:tr>
        <w:trPr>
          <w:cantSplit/>
        </w:trPr>
        <w:tc>
          <w:tcPr>
            <w:tcW w:w="1701" w:type="dxa"/>
            <w:vAlign w:val="center"/>
          </w:tcPr>
          <w:p>
            <w:pPr>
              <w:spacing w:before="20" w:after="20"/>
              <w:jc w:val="left"/>
            </w:pPr>
            <w:r>
              <w:rPr>
                <w:color w:val="000000"/>
                <w:sz w:val="19"/>
              </w:rPr>
              <w:t>Meera (strained)</w:t>
            </w:r>
          </w:p>
        </w:tc>
        <w:tc>
          <w:tcPr>
            <w:tcW w:w="1020" w:type="dxa"/>
            <w:vAlign w:val="center"/>
          </w:tcPr>
          <w:p>
            <w:pPr>
              <w:spacing w:before="20" w:after="20"/>
              <w:jc w:val="center"/>
            </w:pPr>
            <w:r>
              <w:rPr>
                <w:color w:val="000000"/>
                <w:sz w:val="19"/>
              </w:rPr>
              <w:t>5</w:t>
            </w:r>
          </w:p>
        </w:tc>
        <w:tc>
          <w:tcPr>
            <w:tcW w:w="1360" w:type="dxa"/>
            <w:vAlign w:val="center"/>
          </w:tcPr>
          <w:p>
            <w:pPr>
              <w:spacing w:before="20" w:after="20"/>
              <w:jc w:val="center"/>
            </w:pPr>
            <w:r>
              <w:rPr>
                <w:color w:val="000000"/>
                <w:sz w:val="19"/>
              </w:rPr>
              <w:t>19.3</w:t>
            </w:r>
          </w:p>
        </w:tc>
        <w:tc>
          <w:tcPr>
            <w:tcW w:w="1247" w:type="dxa"/>
            <w:vAlign w:val="center"/>
          </w:tcPr>
          <w:p>
            <w:pPr>
              <w:spacing w:before="20" w:after="20"/>
              <w:jc w:val="center"/>
            </w:pPr>
            <w:r>
              <w:rPr>
                <w:color w:val="000000"/>
                <w:sz w:val="19"/>
              </w:rPr>
              <w:t>11.5</w:t>
            </w:r>
          </w:p>
        </w:tc>
        <w:tc>
          <w:tcPr>
            <w:tcW w:w="1304" w:type="dxa"/>
            <w:vAlign w:val="center"/>
          </w:tcPr>
          <w:p>
            <w:pPr>
              <w:spacing w:before="20" w:after="20"/>
              <w:jc w:val="center"/>
            </w:pPr>
            <w:r>
              <w:rPr>
                <w:color w:val="000000"/>
                <w:sz w:val="19"/>
              </w:rPr>
              <w:t>40.4%</w:t>
            </w:r>
          </w:p>
        </w:tc>
        <w:tc>
          <w:tcPr>
            <w:tcW w:w="1247" w:type="dxa"/>
            <w:vAlign w:val="center"/>
          </w:tcPr>
          <w:p>
            <w:pPr>
              <w:spacing w:before="20" w:after="20"/>
              <w:jc w:val="center"/>
            </w:pPr>
            <w:r>
              <w:rPr>
                <w:color w:val="000000"/>
                <w:sz w:val="19"/>
              </w:rPr>
              <w:t>2</w:t>
            </w:r>
          </w:p>
        </w:tc>
        <w:tc>
          <w:tcPr>
            <w:tcW w:w="1134" w:type="dxa"/>
            <w:vAlign w:val="center"/>
          </w:tcPr>
          <w:p>
            <w:pPr>
              <w:spacing w:before="20" w:after="20"/>
              <w:jc w:val="center"/>
            </w:pPr>
            <w:r>
              <w:rPr>
                <w:color w:val="000000"/>
                <w:sz w:val="19"/>
              </w:rPr>
              <w:t>0</w:t>
            </w:r>
          </w:p>
        </w:tc>
      </w:tr>
    </w:tbl>
    <w:p>
      <w:pPr>
        <w:spacing w:before="0" w:after="120"/>
      </w:pPr>
    </w:p>
    <w:p>
      <w:pPr>
        <w:keepNext/>
        <w:spacing w:before="160" w:after="60"/>
        <w:jc w:val="center"/>
      </w:pPr>
      <w:r>
        <w:drawing>
          <wp:inline xmlns:a="http://schemas.openxmlformats.org/drawingml/2006/main" xmlns:pic="http://schemas.openxmlformats.org/drawingml/2006/picture">
            <wp:extent cx="5400000" cy="2160000"/>
            <wp:docPr id="854119977" name="Picture 854119977"/>
            <wp:cNvGraphicFramePr>
              <a:graphicFrameLocks noChangeAspect="1"/>
            </wp:cNvGraphicFramePr>
            <a:graphic>
              <a:graphicData uri="http://schemas.openxmlformats.org/drawingml/2006/picture">
                <pic:pic>
                  <pic:nvPicPr>
                    <pic:cNvPr id="0" name="cycle_ablation.png"/>
                    <pic:cNvPicPr/>
                  </pic:nvPicPr>
                  <pic:blipFill>
                    <a:blip r:embed="rId26"/>
                    <a:stretch>
                      <a:fillRect/>
                    </a:stretch>
                  </pic:blipFill>
                  <pic:spPr>
                    <a:xfrm>
                      <a:off x="0" y="0"/>
                      <a:ext cx="5400000" cy="2160000"/>
                    </a:xfrm>
                    <a:prstGeom prst="rect"/>
                  </pic:spPr>
                </pic:pic>
              </a:graphicData>
            </a:graphic>
          </wp:inline>
        </w:drawing>
      </w:r>
    </w:p>
    <w:p>
      <w:pPr>
        <w:keepLines/>
        <w:spacing w:before="60" w:after="240"/>
        <w:jc w:val="center"/>
      </w:pPr>
      <w:r>
        <w:rPr>
          <w:i/>
          <w:color w:val="000000"/>
          <w:sz w:val="22"/>
        </w:rPr>
        <w:t>Figure 4.4: Cycle-aware baselines suppress normal luteal changes but keep genuine strain</w:t>
      </w:r>
    </w:p>
    <w:p>
      <w:pPr>
        <w:keepNext/>
        <w:spacing w:before="320" w:after="120"/>
      </w:pPr>
      <w:r>
        <w:rPr>
          <w:b/>
          <w:color w:val="000000"/>
          <w:sz w:val="28"/>
        </w:rPr>
        <w:t>4.5 Gait Detector Validation</w:t>
      </w:r>
    </w:p>
    <w:p>
      <w:pPr>
        <w:spacing w:after="160" w:line="360" w:lineRule="auto"/>
        <w:ind w:firstLine="0"/>
        <w:jc w:val="both"/>
      </w:pPr>
      <w:r>
        <w:rPr>
          <w:color w:val="000000"/>
        </w:rPr>
        <w:t>Before using real data, the gait detectors were checked on synthetic walks with known stride variability, turns and left–right asymmetry (Figure 4.5). Version 1 overestimated variability by 6.79 CV points on average and correlated only moderately with the truth (r = 0.61), because turns and asymmetry inflated the step-time variability. Version 2 reduced the error to 0.52 points (r = 0.98). On the real LTMM walks (Figure 4.6), the median variability fell from an implausible 8.36% (version 1 step-time CV) to 3.00% (version 2 stride-time CV), in the range reported for healthy older adults. Version 2 kept 73% of each walk as straight walking, rejected almost no step intervals, and its cadence agreed with an independent autocorrelation estimate to within 0.78%.</w:t>
      </w:r>
    </w:p>
    <w:p>
      <w:pPr>
        <w:keepNext/>
        <w:spacing w:before="160" w:after="60"/>
        <w:jc w:val="center"/>
      </w:pPr>
      <w:r>
        <w:drawing>
          <wp:inline xmlns:a="http://schemas.openxmlformats.org/drawingml/2006/main" xmlns:pic="http://schemas.openxmlformats.org/drawingml/2006/picture">
            <wp:extent cx="3960000" cy="3630000"/>
            <wp:docPr id="854119978" name="Picture 854119978"/>
            <wp:cNvGraphicFramePr>
              <a:graphicFrameLocks noChangeAspect="1"/>
            </wp:cNvGraphicFramePr>
            <a:graphic>
              <a:graphicData uri="http://schemas.openxmlformats.org/drawingml/2006/picture">
                <pic:pic>
                  <pic:nvPicPr>
                    <pic:cNvPr id="0" name="gait_detector_bench.png"/>
                    <pic:cNvPicPr/>
                  </pic:nvPicPr>
                  <pic:blipFill>
                    <a:blip r:embed="rId27"/>
                    <a:stretch>
                      <a:fillRect/>
                    </a:stretch>
                  </pic:blipFill>
                  <pic:spPr>
                    <a:xfrm>
                      <a:off x="0" y="0"/>
                      <a:ext cx="3960000" cy="3630000"/>
                    </a:xfrm>
                    <a:prstGeom prst="rect"/>
                  </pic:spPr>
                </pic:pic>
              </a:graphicData>
            </a:graphic>
          </wp:inline>
        </w:drawing>
      </w:r>
    </w:p>
    <w:p>
      <w:pPr>
        <w:keepLines/>
        <w:spacing w:before="60" w:after="240"/>
        <w:jc w:val="center"/>
      </w:pPr>
      <w:r>
        <w:rPr>
          <w:i/>
          <w:color w:val="000000"/>
          <w:sz w:val="22"/>
        </w:rPr>
        <w:t>Figure 4.5: Detector validation on synthetic ground truth</w:t>
      </w:r>
    </w:p>
    <w:p>
      <w:pPr>
        <w:keepNext/>
        <w:spacing w:before="160" w:after="60"/>
        <w:jc w:val="center"/>
      </w:pPr>
      <w:r>
        <w:drawing>
          <wp:inline xmlns:a="http://schemas.openxmlformats.org/drawingml/2006/main" xmlns:pic="http://schemas.openxmlformats.org/drawingml/2006/picture">
            <wp:extent cx="3600000" cy="2787097"/>
            <wp:docPr id="854119979" name="Picture 854119979"/>
            <wp:cNvGraphicFramePr>
              <a:graphicFrameLocks noChangeAspect="1"/>
            </wp:cNvGraphicFramePr>
            <a:graphic>
              <a:graphicData uri="http://schemas.openxmlformats.org/drawingml/2006/picture">
                <pic:pic>
                  <pic:nvPicPr>
                    <pic:cNvPr id="0" name="ltmm_quality_fix.png"/>
                    <pic:cNvPicPr/>
                  </pic:nvPicPr>
                  <pic:blipFill>
                    <a:blip r:embed="rId28"/>
                    <a:stretch>
                      <a:fillRect/>
                    </a:stretch>
                  </pic:blipFill>
                  <pic:spPr>
                    <a:xfrm>
                      <a:off x="0" y="0"/>
                      <a:ext cx="3600000" cy="2787097"/>
                    </a:xfrm>
                    <a:prstGeom prst="rect"/>
                  </pic:spPr>
                </pic:pic>
              </a:graphicData>
            </a:graphic>
          </wp:inline>
        </w:drawing>
      </w:r>
    </w:p>
    <w:p>
      <w:pPr>
        <w:keepLines/>
        <w:spacing w:before="60" w:after="240"/>
        <w:jc w:val="center"/>
      </w:pPr>
      <w:r>
        <w:rPr>
          <w:i/>
          <w:color w:val="000000"/>
          <w:sz w:val="22"/>
        </w:rPr>
        <w:t>Figure 4.6: Gait variability on real LTMM walks before and after the signal-quality fix</w:t>
      </w:r>
    </w:p>
    <w:p>
      <w:pPr>
        <w:keepNext/>
        <w:spacing w:before="320" w:after="120"/>
      </w:pPr>
      <w:r>
        <w:rPr>
          <w:b/>
          <w:color w:val="000000"/>
          <w:sz w:val="28"/>
        </w:rPr>
        <w:t>4.6 Experiment 1: Untrained Gait Index on Real Data</w:t>
      </w:r>
    </w:p>
    <w:p>
      <w:pPr>
        <w:spacing w:after="160" w:line="360" w:lineRule="auto"/>
        <w:ind w:firstLine="0"/>
        <w:jc w:val="both"/>
      </w:pPr>
      <w:r>
        <w:rPr>
          <w:color w:val="000000"/>
        </w:rPr>
        <w:t>Table 4.5 reports how well each measure separates the 35 fallers from the 38 non-fallers. The untrained version 2 Gait Instability Index reached an AUC of 0.686 (95% CI 0.561–0.808) without seeing any fall label. The clinical Timed Up and Go test, the standard bedside screening tool, reached 0.683 on the 69 subjects who had it, and our index reached 0.684 on the same subjects. The Berg Balance Scale reached 0.618. A logistic regression trained on the same features with cross-validation reached 0.713 ± 0.017.</w:t>
      </w:r>
    </w:p>
    <w:p>
      <w:pPr>
        <w:keepNext/>
        <w:spacing w:before="200" w:after="80"/>
        <w:jc w:val="center"/>
      </w:pPr>
      <w:r>
        <w:rPr>
          <w:i/>
          <w:color w:val="000000"/>
          <w:sz w:val="22"/>
        </w:rPr>
        <w:t>Table 4.5: Experiment 1: discrimination of fallers and non-fallers (LTMM lab walks, n = 73)</w:t>
      </w:r>
    </w:p>
    <w:tbl>
      <w:tblPr>
        <w:tblStyle w:val="TableGrid"/>
        <w:tblW w:w="8164" w:type="dxa"/>
        <w:jc w:val="center"/>
        <w:tblLayout w:type="fixed"/>
        <w:tblLook w:firstColumn="1" w:firstRow="1" w:lastColumn="0" w:lastRow="0" w:noHBand="0" w:noVBand="1" w:val="04A0"/>
      </w:tblPr>
      <w:tblGrid>
        <w:gridCol w:w="3628"/>
        <w:gridCol w:w="907"/>
        <w:gridCol w:w="2948"/>
        <w:gridCol w:w="680"/>
      </w:tblGrid>
      <w:tr>
        <w:trPr>
          <w:cantSplit/>
          <w:tblHeader/>
        </w:trPr>
        <w:tc>
          <w:tcPr>
            <w:tcW w:w="3628" w:type="dxa"/>
            <w:shd w:val="clear" w:color="auto" w:fill="E7E6E6"/>
            <w:vAlign w:val="center"/>
          </w:tcPr>
          <w:p>
            <w:pPr>
              <w:spacing w:before="20" w:after="20"/>
              <w:jc w:val="center"/>
            </w:pPr>
            <w:r>
              <w:rPr>
                <w:b/>
                <w:color w:val="000000"/>
                <w:sz w:val="19"/>
              </w:rPr>
              <w:t>Measure</w:t>
            </w:r>
          </w:p>
        </w:tc>
        <w:tc>
          <w:tcPr>
            <w:tcW w:w="907" w:type="dxa"/>
            <w:shd w:val="clear" w:color="auto" w:fill="E7E6E6"/>
            <w:vAlign w:val="center"/>
          </w:tcPr>
          <w:p>
            <w:pPr>
              <w:spacing w:before="20" w:after="20"/>
              <w:jc w:val="center"/>
            </w:pPr>
            <w:r>
              <w:rPr>
                <w:b/>
                <w:color w:val="000000"/>
                <w:sz w:val="19"/>
              </w:rPr>
              <w:t>AUC</w:t>
            </w:r>
          </w:p>
        </w:tc>
        <w:tc>
          <w:tcPr>
            <w:tcW w:w="2948" w:type="dxa"/>
            <w:shd w:val="clear" w:color="auto" w:fill="E7E6E6"/>
            <w:vAlign w:val="center"/>
          </w:tcPr>
          <w:p>
            <w:pPr>
              <w:spacing w:before="20" w:after="20"/>
              <w:jc w:val="center"/>
            </w:pPr>
            <w:r>
              <w:rPr>
                <w:b/>
                <w:color w:val="000000"/>
                <w:sz w:val="19"/>
              </w:rPr>
              <w:t>95% CI / spread</w:t>
            </w:r>
          </w:p>
        </w:tc>
        <w:tc>
          <w:tcPr>
            <w:tcW w:w="680" w:type="dxa"/>
            <w:shd w:val="clear" w:color="auto" w:fill="E7E6E6"/>
            <w:vAlign w:val="center"/>
          </w:tcPr>
          <w:p>
            <w:pPr>
              <w:spacing w:before="20" w:after="20"/>
              <w:jc w:val="center"/>
            </w:pPr>
            <w:r>
              <w:rPr>
                <w:b/>
                <w:color w:val="000000"/>
                <w:sz w:val="19"/>
              </w:rPr>
              <w:t>n</w:t>
            </w:r>
          </w:p>
        </w:tc>
      </w:tr>
      <w:tr>
        <w:trPr>
          <w:cantSplit/>
        </w:trPr>
        <w:tc>
          <w:tcPr>
            <w:tcW w:w="3628" w:type="dxa"/>
            <w:vAlign w:val="center"/>
          </w:tcPr>
          <w:p>
            <w:pPr>
              <w:spacing w:before="20" w:after="20"/>
              <w:jc w:val="left"/>
            </w:pPr>
            <w:r>
              <w:rPr>
                <w:color w:val="000000"/>
                <w:sz w:val="19"/>
              </w:rPr>
              <w:t>v1 Gait Instability Index (untrained)</w:t>
            </w:r>
          </w:p>
        </w:tc>
        <w:tc>
          <w:tcPr>
            <w:tcW w:w="907" w:type="dxa"/>
            <w:vAlign w:val="center"/>
          </w:tcPr>
          <w:p>
            <w:pPr>
              <w:spacing w:before="20" w:after="20"/>
              <w:jc w:val="center"/>
            </w:pPr>
            <w:r>
              <w:rPr>
                <w:color w:val="000000"/>
                <w:sz w:val="19"/>
              </w:rPr>
              <w:t>0.676</w:t>
            </w:r>
          </w:p>
        </w:tc>
        <w:tc>
          <w:tcPr>
            <w:tcW w:w="2948" w:type="dxa"/>
            <w:vAlign w:val="center"/>
          </w:tcPr>
          <w:p>
            <w:pPr>
              <w:spacing w:before="20" w:after="20"/>
              <w:jc w:val="center"/>
            </w:pPr>
            <w:r>
              <w:rPr>
                <w:color w:val="000000"/>
                <w:sz w:val="19"/>
              </w:rPr>
              <w:t>0.553 – 0.796</w:t>
            </w:r>
          </w:p>
        </w:tc>
        <w:tc>
          <w:tcPr>
            <w:tcW w:w="680" w:type="dxa"/>
            <w:vAlign w:val="center"/>
          </w:tcPr>
          <w:p>
            <w:pPr>
              <w:spacing w:before="20" w:after="20"/>
              <w:jc w:val="center"/>
            </w:pPr>
            <w:r>
              <w:rPr>
                <w:color w:val="000000"/>
                <w:sz w:val="19"/>
              </w:rPr>
              <w:t>73</w:t>
            </w:r>
          </w:p>
        </w:tc>
      </w:tr>
      <w:tr>
        <w:trPr>
          <w:cantSplit/>
        </w:trPr>
        <w:tc>
          <w:tcPr>
            <w:tcW w:w="3628" w:type="dxa"/>
            <w:vAlign w:val="center"/>
          </w:tcPr>
          <w:p>
            <w:pPr>
              <w:spacing w:before="20" w:after="20"/>
              <w:jc w:val="left"/>
            </w:pPr>
            <w:r>
              <w:rPr>
                <w:color w:val="000000"/>
                <w:sz w:val="19"/>
              </w:rPr>
              <w:t>v2 Gait Instability Index (untrained)</w:t>
            </w:r>
          </w:p>
        </w:tc>
        <w:tc>
          <w:tcPr>
            <w:tcW w:w="907" w:type="dxa"/>
            <w:vAlign w:val="center"/>
          </w:tcPr>
          <w:p>
            <w:pPr>
              <w:spacing w:before="20" w:after="20"/>
              <w:jc w:val="center"/>
            </w:pPr>
            <w:r>
              <w:rPr>
                <w:color w:val="000000"/>
                <w:sz w:val="19"/>
              </w:rPr>
              <w:t>0.686</w:t>
            </w:r>
          </w:p>
        </w:tc>
        <w:tc>
          <w:tcPr>
            <w:tcW w:w="2948" w:type="dxa"/>
            <w:vAlign w:val="center"/>
          </w:tcPr>
          <w:p>
            <w:pPr>
              <w:spacing w:before="20" w:after="20"/>
              <w:jc w:val="center"/>
            </w:pPr>
            <w:r>
              <w:rPr>
                <w:color w:val="000000"/>
                <w:sz w:val="19"/>
              </w:rPr>
              <w:t>0.561 – 0.808</w:t>
            </w:r>
          </w:p>
        </w:tc>
        <w:tc>
          <w:tcPr>
            <w:tcW w:w="680" w:type="dxa"/>
            <w:vAlign w:val="center"/>
          </w:tcPr>
          <w:p>
            <w:pPr>
              <w:spacing w:before="20" w:after="20"/>
              <w:jc w:val="center"/>
            </w:pPr>
            <w:r>
              <w:rPr>
                <w:color w:val="000000"/>
                <w:sz w:val="19"/>
              </w:rPr>
              <w:t>73</w:t>
            </w:r>
          </w:p>
        </w:tc>
      </w:tr>
      <w:tr>
        <w:trPr>
          <w:cantSplit/>
        </w:trPr>
        <w:tc>
          <w:tcPr>
            <w:tcW w:w="3628" w:type="dxa"/>
            <w:vAlign w:val="center"/>
          </w:tcPr>
          <w:p>
            <w:pPr>
              <w:spacing w:before="20" w:after="20"/>
              <w:jc w:val="left"/>
            </w:pPr>
            <w:r>
              <w:rPr>
                <w:color w:val="000000"/>
                <w:sz w:val="19"/>
              </w:rPr>
              <w:t>v1 logistic regression (5-fold CV × 10)</w:t>
            </w:r>
          </w:p>
        </w:tc>
        <w:tc>
          <w:tcPr>
            <w:tcW w:w="907" w:type="dxa"/>
            <w:vAlign w:val="center"/>
          </w:tcPr>
          <w:p>
            <w:pPr>
              <w:spacing w:before="20" w:after="20"/>
              <w:jc w:val="center"/>
            </w:pPr>
            <w:r>
              <w:rPr>
                <w:color w:val="000000"/>
                <w:sz w:val="19"/>
              </w:rPr>
              <w:t>0.674</w:t>
            </w:r>
          </w:p>
        </w:tc>
        <w:tc>
          <w:tcPr>
            <w:tcW w:w="2948" w:type="dxa"/>
            <w:vAlign w:val="center"/>
          </w:tcPr>
          <w:p>
            <w:pPr>
              <w:spacing w:before="20" w:after="20"/>
              <w:jc w:val="center"/>
            </w:pPr>
            <w:r>
              <w:rPr>
                <w:color w:val="000000"/>
                <w:sz w:val="19"/>
              </w:rPr>
              <w:t>± 0.019</w:t>
            </w:r>
          </w:p>
        </w:tc>
        <w:tc>
          <w:tcPr>
            <w:tcW w:w="680" w:type="dxa"/>
            <w:vAlign w:val="center"/>
          </w:tcPr>
          <w:p>
            <w:pPr>
              <w:spacing w:before="20" w:after="20"/>
              <w:jc w:val="center"/>
            </w:pPr>
            <w:r>
              <w:rPr>
                <w:color w:val="000000"/>
                <w:sz w:val="19"/>
              </w:rPr>
              <w:t>73</w:t>
            </w:r>
          </w:p>
        </w:tc>
      </w:tr>
      <w:tr>
        <w:trPr>
          <w:cantSplit/>
        </w:trPr>
        <w:tc>
          <w:tcPr>
            <w:tcW w:w="3628" w:type="dxa"/>
            <w:vAlign w:val="center"/>
          </w:tcPr>
          <w:p>
            <w:pPr>
              <w:spacing w:before="20" w:after="20"/>
              <w:jc w:val="left"/>
            </w:pPr>
            <w:r>
              <w:rPr>
                <w:color w:val="000000"/>
                <w:sz w:val="19"/>
              </w:rPr>
              <w:t>v2 logistic regression (5-fold CV × 10)</w:t>
            </w:r>
          </w:p>
        </w:tc>
        <w:tc>
          <w:tcPr>
            <w:tcW w:w="907" w:type="dxa"/>
            <w:vAlign w:val="center"/>
          </w:tcPr>
          <w:p>
            <w:pPr>
              <w:spacing w:before="20" w:after="20"/>
              <w:jc w:val="center"/>
            </w:pPr>
            <w:r>
              <w:rPr>
                <w:color w:val="000000"/>
                <w:sz w:val="19"/>
              </w:rPr>
              <w:t>0.713</w:t>
            </w:r>
          </w:p>
        </w:tc>
        <w:tc>
          <w:tcPr>
            <w:tcW w:w="2948" w:type="dxa"/>
            <w:vAlign w:val="center"/>
          </w:tcPr>
          <w:p>
            <w:pPr>
              <w:spacing w:before="20" w:after="20"/>
              <w:jc w:val="center"/>
            </w:pPr>
            <w:r>
              <w:rPr>
                <w:color w:val="000000"/>
                <w:sz w:val="19"/>
              </w:rPr>
              <w:t>± 0.017</w:t>
            </w:r>
          </w:p>
        </w:tc>
        <w:tc>
          <w:tcPr>
            <w:tcW w:w="680" w:type="dxa"/>
            <w:vAlign w:val="center"/>
          </w:tcPr>
          <w:p>
            <w:pPr>
              <w:spacing w:before="20" w:after="20"/>
              <w:jc w:val="center"/>
            </w:pPr>
            <w:r>
              <w:rPr>
                <w:color w:val="000000"/>
                <w:sz w:val="19"/>
              </w:rPr>
              <w:t>73</w:t>
            </w:r>
          </w:p>
        </w:tc>
      </w:tr>
      <w:tr>
        <w:trPr>
          <w:cantSplit/>
        </w:trPr>
        <w:tc>
          <w:tcPr>
            <w:tcW w:w="3628" w:type="dxa"/>
            <w:vAlign w:val="center"/>
          </w:tcPr>
          <w:p>
            <w:pPr>
              <w:spacing w:before="20" w:after="20"/>
              <w:jc w:val="left"/>
            </w:pPr>
            <w:r>
              <w:rPr>
                <w:color w:val="000000"/>
                <w:sz w:val="19"/>
              </w:rPr>
              <w:t>Timed Up and Go (clinical)</w:t>
            </w:r>
          </w:p>
        </w:tc>
        <w:tc>
          <w:tcPr>
            <w:tcW w:w="907" w:type="dxa"/>
            <w:vAlign w:val="center"/>
          </w:tcPr>
          <w:p>
            <w:pPr>
              <w:spacing w:before="20" w:after="20"/>
              <w:jc w:val="center"/>
            </w:pPr>
            <w:r>
              <w:rPr>
                <w:color w:val="000000"/>
                <w:sz w:val="19"/>
              </w:rPr>
              <w:t>0.683</w:t>
            </w:r>
          </w:p>
        </w:tc>
        <w:tc>
          <w:tcPr>
            <w:tcW w:w="2948" w:type="dxa"/>
            <w:vAlign w:val="center"/>
          </w:tcPr>
          <w:p>
            <w:pPr>
              <w:spacing w:before="20" w:after="20"/>
              <w:jc w:val="center"/>
            </w:pPr>
            <w:r>
              <w:rPr>
                <w:color w:val="000000"/>
                <w:sz w:val="19"/>
              </w:rPr>
              <w:t>v2 index on same subjects: 0.684</w:t>
            </w:r>
          </w:p>
        </w:tc>
        <w:tc>
          <w:tcPr>
            <w:tcW w:w="680" w:type="dxa"/>
            <w:vAlign w:val="center"/>
          </w:tcPr>
          <w:p>
            <w:pPr>
              <w:spacing w:before="20" w:after="20"/>
              <w:jc w:val="center"/>
            </w:pPr>
            <w:r>
              <w:rPr>
                <w:color w:val="000000"/>
                <w:sz w:val="19"/>
              </w:rPr>
              <w:t>69</w:t>
            </w:r>
          </w:p>
        </w:tc>
      </w:tr>
      <w:tr>
        <w:trPr>
          <w:cantSplit/>
        </w:trPr>
        <w:tc>
          <w:tcPr>
            <w:tcW w:w="3628" w:type="dxa"/>
            <w:vAlign w:val="center"/>
          </w:tcPr>
          <w:p>
            <w:pPr>
              <w:spacing w:before="20" w:after="20"/>
              <w:jc w:val="left"/>
            </w:pPr>
            <w:r>
              <w:rPr>
                <w:color w:val="000000"/>
                <w:sz w:val="19"/>
              </w:rPr>
              <w:t>Berg Balance Scale (clinical)</w:t>
            </w:r>
          </w:p>
        </w:tc>
        <w:tc>
          <w:tcPr>
            <w:tcW w:w="907" w:type="dxa"/>
            <w:vAlign w:val="center"/>
          </w:tcPr>
          <w:p>
            <w:pPr>
              <w:spacing w:before="20" w:after="20"/>
              <w:jc w:val="center"/>
            </w:pPr>
            <w:r>
              <w:rPr>
                <w:color w:val="000000"/>
                <w:sz w:val="19"/>
              </w:rPr>
              <w:t>0.618</w:t>
            </w:r>
          </w:p>
        </w:tc>
        <w:tc>
          <w:tcPr>
            <w:tcW w:w="2948" w:type="dxa"/>
            <w:vAlign w:val="center"/>
          </w:tcPr>
          <w:p>
            <w:pPr>
              <w:spacing w:before="20" w:after="20"/>
              <w:jc w:val="center"/>
            </w:pPr>
            <w:r>
              <w:rPr>
                <w:color w:val="000000"/>
                <w:sz w:val="19"/>
              </w:rPr>
              <w:t>v2 index on same subjects: 0.684</w:t>
            </w:r>
          </w:p>
        </w:tc>
        <w:tc>
          <w:tcPr>
            <w:tcW w:w="680" w:type="dxa"/>
            <w:vAlign w:val="center"/>
          </w:tcPr>
          <w:p>
            <w:pPr>
              <w:spacing w:before="20" w:after="20"/>
              <w:jc w:val="center"/>
            </w:pPr>
            <w:r>
              <w:rPr>
                <w:color w:val="000000"/>
                <w:sz w:val="19"/>
              </w:rPr>
              <w:t>69</w:t>
            </w:r>
          </w:p>
        </w:tc>
      </w:tr>
    </w:tbl>
    <w:p>
      <w:pPr>
        <w:spacing w:before="0" w:after="120"/>
      </w:pPr>
    </w:p>
    <w:p>
      <w:pPr>
        <w:spacing w:after="160" w:line="360" w:lineRule="auto"/>
        <w:ind w:firstLine="0"/>
        <w:jc w:val="both"/>
      </w:pPr>
      <w:r>
        <w:rPr>
          <w:color w:val="000000"/>
        </w:rPr>
        <w:t>Among single features (Table 4.6, Figure 4.8), cadence was the strongest marker (AUC 0.770, p = 0.0001): fallers walked at a median of 107 steps per minute against 115 for non-fallers. Step regularity and the anteroposterior harmonic ratio were also significant (AUC 0.647 and 0.645). Stride-time variability did not separate the groups in these one-minute walks (AUC 0.492), which suggests that longer recordings are needed for variability to be informative.</w:t>
      </w:r>
    </w:p>
    <w:p>
      <w:pPr>
        <w:keepNext/>
        <w:spacing w:before="200" w:after="80"/>
        <w:jc w:val="center"/>
      </w:pPr>
      <w:r>
        <w:rPr>
          <w:i/>
          <w:color w:val="000000"/>
          <w:sz w:val="22"/>
        </w:rPr>
        <w:t>Table 4.6: Experiment 1: per-feature AUC of the version 2 gait features</w:t>
      </w:r>
    </w:p>
    <w:tbl>
      <w:tblPr>
        <w:tblStyle w:val="TableGrid"/>
        <w:tblW w:w="8164" w:type="dxa"/>
        <w:jc w:val="center"/>
        <w:tblLayout w:type="fixed"/>
        <w:tblLook w:firstColumn="1" w:firstRow="1" w:lastColumn="0" w:lastRow="0" w:noHBand="0" w:noVBand="1" w:val="04A0"/>
      </w:tblPr>
      <w:tblGrid>
        <w:gridCol w:w="2381"/>
        <w:gridCol w:w="1134"/>
        <w:gridCol w:w="1360"/>
        <w:gridCol w:w="1587"/>
        <w:gridCol w:w="793"/>
        <w:gridCol w:w="907"/>
      </w:tblGrid>
      <w:tr>
        <w:trPr>
          <w:cantSplit/>
          <w:tblHeader/>
        </w:trPr>
        <w:tc>
          <w:tcPr>
            <w:tcW w:w="2381" w:type="dxa"/>
            <w:shd w:val="clear" w:color="auto" w:fill="E7E6E6"/>
            <w:vAlign w:val="center"/>
          </w:tcPr>
          <w:p>
            <w:pPr>
              <w:spacing w:before="20" w:after="20"/>
              <w:jc w:val="center"/>
            </w:pPr>
            <w:r>
              <w:rPr>
                <w:b/>
                <w:color w:val="000000"/>
                <w:sz w:val="19"/>
              </w:rPr>
              <w:t>Feature</w:t>
            </w:r>
          </w:p>
        </w:tc>
        <w:tc>
          <w:tcPr>
            <w:tcW w:w="1134" w:type="dxa"/>
            <w:shd w:val="clear" w:color="auto" w:fill="E7E6E6"/>
            <w:vAlign w:val="center"/>
          </w:tcPr>
          <w:p>
            <w:pPr>
              <w:spacing w:before="20" w:after="20"/>
              <w:jc w:val="center"/>
            </w:pPr>
            <w:r>
              <w:rPr>
                <w:b/>
                <w:color w:val="000000"/>
                <w:sz w:val="19"/>
              </w:rPr>
              <w:t>Worse when</w:t>
            </w:r>
          </w:p>
        </w:tc>
        <w:tc>
          <w:tcPr>
            <w:tcW w:w="1360" w:type="dxa"/>
            <w:shd w:val="clear" w:color="auto" w:fill="E7E6E6"/>
            <w:vAlign w:val="center"/>
          </w:tcPr>
          <w:p>
            <w:pPr>
              <w:spacing w:before="20" w:after="20"/>
              <w:jc w:val="center"/>
            </w:pPr>
            <w:r>
              <w:rPr>
                <w:b/>
                <w:color w:val="000000"/>
                <w:sz w:val="19"/>
              </w:rPr>
              <w:t>Median fallers</w:t>
            </w:r>
          </w:p>
        </w:tc>
        <w:tc>
          <w:tcPr>
            <w:tcW w:w="1587" w:type="dxa"/>
            <w:shd w:val="clear" w:color="auto" w:fill="E7E6E6"/>
            <w:vAlign w:val="center"/>
          </w:tcPr>
          <w:p>
            <w:pPr>
              <w:spacing w:before="20" w:after="20"/>
              <w:jc w:val="center"/>
            </w:pPr>
            <w:r>
              <w:rPr>
                <w:b/>
                <w:color w:val="000000"/>
                <w:sz w:val="19"/>
              </w:rPr>
              <w:t>Median non-fallers</w:t>
            </w:r>
          </w:p>
        </w:tc>
        <w:tc>
          <w:tcPr>
            <w:tcW w:w="793" w:type="dxa"/>
            <w:shd w:val="clear" w:color="auto" w:fill="E7E6E6"/>
            <w:vAlign w:val="center"/>
          </w:tcPr>
          <w:p>
            <w:pPr>
              <w:spacing w:before="20" w:after="20"/>
              <w:jc w:val="center"/>
            </w:pPr>
            <w:r>
              <w:rPr>
                <w:b/>
                <w:color w:val="000000"/>
                <w:sz w:val="19"/>
              </w:rPr>
              <w:t>AUC</w:t>
            </w:r>
          </w:p>
        </w:tc>
        <w:tc>
          <w:tcPr>
            <w:tcW w:w="907" w:type="dxa"/>
            <w:shd w:val="clear" w:color="auto" w:fill="E7E6E6"/>
            <w:vAlign w:val="center"/>
          </w:tcPr>
          <w:p>
            <w:pPr>
              <w:spacing w:before="20" w:after="20"/>
              <w:jc w:val="center"/>
            </w:pPr>
            <w:r>
              <w:rPr>
                <w:b/>
                <w:color w:val="000000"/>
                <w:sz w:val="19"/>
              </w:rPr>
              <w:t>p</w:t>
            </w:r>
          </w:p>
        </w:tc>
      </w:tr>
      <w:tr>
        <w:trPr>
          <w:cantSplit/>
        </w:trPr>
        <w:tc>
          <w:tcPr>
            <w:tcW w:w="2381" w:type="dxa"/>
            <w:vAlign w:val="center"/>
          </w:tcPr>
          <w:p>
            <w:pPr>
              <w:spacing w:before="20" w:after="20"/>
              <w:jc w:val="left"/>
            </w:pPr>
            <w:r>
              <w:rPr>
                <w:color w:val="000000"/>
                <w:sz w:val="19"/>
              </w:rPr>
              <w:t>Cadence (steps/min)</w:t>
            </w:r>
          </w:p>
        </w:tc>
        <w:tc>
          <w:tcPr>
            <w:tcW w:w="1134" w:type="dxa"/>
            <w:vAlign w:val="center"/>
          </w:tcPr>
          <w:p>
            <w:pPr>
              <w:spacing w:before="20" w:after="20"/>
              <w:jc w:val="center"/>
            </w:pPr>
            <w:r>
              <w:rPr>
                <w:color w:val="000000"/>
                <w:sz w:val="19"/>
              </w:rPr>
              <w:t>lower</w:t>
            </w:r>
          </w:p>
        </w:tc>
        <w:tc>
          <w:tcPr>
            <w:tcW w:w="1360" w:type="dxa"/>
            <w:vAlign w:val="center"/>
          </w:tcPr>
          <w:p>
            <w:pPr>
              <w:spacing w:before="20" w:after="20"/>
              <w:jc w:val="center"/>
            </w:pPr>
            <w:r>
              <w:rPr>
                <w:color w:val="000000"/>
                <w:sz w:val="19"/>
              </w:rPr>
              <w:t>107.1</w:t>
            </w:r>
          </w:p>
        </w:tc>
        <w:tc>
          <w:tcPr>
            <w:tcW w:w="1587" w:type="dxa"/>
            <w:vAlign w:val="center"/>
          </w:tcPr>
          <w:p>
            <w:pPr>
              <w:spacing w:before="20" w:after="20"/>
              <w:jc w:val="center"/>
            </w:pPr>
            <w:r>
              <w:rPr>
                <w:color w:val="000000"/>
                <w:sz w:val="19"/>
              </w:rPr>
              <w:t>115.4</w:t>
            </w:r>
          </w:p>
        </w:tc>
        <w:tc>
          <w:tcPr>
            <w:tcW w:w="793" w:type="dxa"/>
            <w:vAlign w:val="center"/>
          </w:tcPr>
          <w:p>
            <w:pPr>
              <w:spacing w:before="20" w:after="20"/>
              <w:jc w:val="center"/>
            </w:pPr>
            <w:r>
              <w:rPr>
                <w:color w:val="000000"/>
                <w:sz w:val="19"/>
              </w:rPr>
              <w:t>0.770</w:t>
            </w:r>
          </w:p>
        </w:tc>
        <w:tc>
          <w:tcPr>
            <w:tcW w:w="907" w:type="dxa"/>
            <w:vAlign w:val="center"/>
          </w:tcPr>
          <w:p>
            <w:pPr>
              <w:spacing w:before="20" w:after="20"/>
              <w:jc w:val="center"/>
            </w:pPr>
            <w:r>
              <w:rPr>
                <w:color w:val="000000"/>
                <w:sz w:val="19"/>
              </w:rPr>
              <w:t>0.0001</w:t>
            </w:r>
          </w:p>
        </w:tc>
      </w:tr>
      <w:tr>
        <w:trPr>
          <w:cantSplit/>
        </w:trPr>
        <w:tc>
          <w:tcPr>
            <w:tcW w:w="2381" w:type="dxa"/>
            <w:vAlign w:val="center"/>
          </w:tcPr>
          <w:p>
            <w:pPr>
              <w:spacing w:before="20" w:after="20"/>
              <w:jc w:val="left"/>
            </w:pPr>
            <w:r>
              <w:rPr>
                <w:color w:val="000000"/>
                <w:sz w:val="19"/>
              </w:rPr>
              <w:t>Stride-time CV (%)</w:t>
            </w:r>
          </w:p>
        </w:tc>
        <w:tc>
          <w:tcPr>
            <w:tcW w:w="1134" w:type="dxa"/>
            <w:vAlign w:val="center"/>
          </w:tcPr>
          <w:p>
            <w:pPr>
              <w:spacing w:before="20" w:after="20"/>
              <w:jc w:val="center"/>
            </w:pPr>
            <w:r>
              <w:rPr>
                <w:color w:val="000000"/>
                <w:sz w:val="19"/>
              </w:rPr>
              <w:t>higher</w:t>
            </w:r>
          </w:p>
        </w:tc>
        <w:tc>
          <w:tcPr>
            <w:tcW w:w="1360" w:type="dxa"/>
            <w:vAlign w:val="center"/>
          </w:tcPr>
          <w:p>
            <w:pPr>
              <w:spacing w:before="20" w:after="20"/>
              <w:jc w:val="center"/>
            </w:pPr>
            <w:r>
              <w:rPr>
                <w:color w:val="000000"/>
                <w:sz w:val="19"/>
              </w:rPr>
              <w:t>3.00</w:t>
            </w:r>
          </w:p>
        </w:tc>
        <w:tc>
          <w:tcPr>
            <w:tcW w:w="1587" w:type="dxa"/>
            <w:vAlign w:val="center"/>
          </w:tcPr>
          <w:p>
            <w:pPr>
              <w:spacing w:before="20" w:after="20"/>
              <w:jc w:val="center"/>
            </w:pPr>
            <w:r>
              <w:rPr>
                <w:color w:val="000000"/>
                <w:sz w:val="19"/>
              </w:rPr>
              <w:t>2.95</w:t>
            </w:r>
          </w:p>
        </w:tc>
        <w:tc>
          <w:tcPr>
            <w:tcW w:w="793" w:type="dxa"/>
            <w:vAlign w:val="center"/>
          </w:tcPr>
          <w:p>
            <w:pPr>
              <w:spacing w:before="20" w:after="20"/>
              <w:jc w:val="center"/>
            </w:pPr>
            <w:r>
              <w:rPr>
                <w:color w:val="000000"/>
                <w:sz w:val="19"/>
              </w:rPr>
              <w:t>0.492</w:t>
            </w:r>
          </w:p>
        </w:tc>
        <w:tc>
          <w:tcPr>
            <w:tcW w:w="907" w:type="dxa"/>
            <w:vAlign w:val="center"/>
          </w:tcPr>
          <w:p>
            <w:pPr>
              <w:spacing w:before="20" w:after="20"/>
              <w:jc w:val="center"/>
            </w:pPr>
            <w:r>
              <w:rPr>
                <w:color w:val="000000"/>
                <w:sz w:val="19"/>
              </w:rPr>
              <w:t>0.908</w:t>
            </w:r>
          </w:p>
        </w:tc>
      </w:tr>
      <w:tr>
        <w:trPr>
          <w:cantSplit/>
        </w:trPr>
        <w:tc>
          <w:tcPr>
            <w:tcW w:w="2381" w:type="dxa"/>
            <w:vAlign w:val="center"/>
          </w:tcPr>
          <w:p>
            <w:pPr>
              <w:spacing w:before="20" w:after="20"/>
              <w:jc w:val="left"/>
            </w:pPr>
            <w:r>
              <w:rPr>
                <w:color w:val="000000"/>
                <w:sz w:val="19"/>
              </w:rPr>
              <w:t>Step regularity</w:t>
            </w:r>
          </w:p>
        </w:tc>
        <w:tc>
          <w:tcPr>
            <w:tcW w:w="1134" w:type="dxa"/>
            <w:vAlign w:val="center"/>
          </w:tcPr>
          <w:p>
            <w:pPr>
              <w:spacing w:before="20" w:after="20"/>
              <w:jc w:val="center"/>
            </w:pPr>
            <w:r>
              <w:rPr>
                <w:color w:val="000000"/>
                <w:sz w:val="19"/>
              </w:rPr>
              <w:t>lower</w:t>
            </w:r>
          </w:p>
        </w:tc>
        <w:tc>
          <w:tcPr>
            <w:tcW w:w="1360" w:type="dxa"/>
            <w:vAlign w:val="center"/>
          </w:tcPr>
          <w:p>
            <w:pPr>
              <w:spacing w:before="20" w:after="20"/>
              <w:jc w:val="center"/>
            </w:pPr>
            <w:r>
              <w:rPr>
                <w:color w:val="000000"/>
                <w:sz w:val="19"/>
              </w:rPr>
              <w:t>0.764</w:t>
            </w:r>
          </w:p>
        </w:tc>
        <w:tc>
          <w:tcPr>
            <w:tcW w:w="1587" w:type="dxa"/>
            <w:vAlign w:val="center"/>
          </w:tcPr>
          <w:p>
            <w:pPr>
              <w:spacing w:before="20" w:after="20"/>
              <w:jc w:val="center"/>
            </w:pPr>
            <w:r>
              <w:rPr>
                <w:color w:val="000000"/>
                <w:sz w:val="19"/>
              </w:rPr>
              <w:t>0.818</w:t>
            </w:r>
          </w:p>
        </w:tc>
        <w:tc>
          <w:tcPr>
            <w:tcW w:w="793" w:type="dxa"/>
            <w:vAlign w:val="center"/>
          </w:tcPr>
          <w:p>
            <w:pPr>
              <w:spacing w:before="20" w:after="20"/>
              <w:jc w:val="center"/>
            </w:pPr>
            <w:r>
              <w:rPr>
                <w:color w:val="000000"/>
                <w:sz w:val="19"/>
              </w:rPr>
              <w:t>0.647</w:t>
            </w:r>
          </w:p>
        </w:tc>
        <w:tc>
          <w:tcPr>
            <w:tcW w:w="907" w:type="dxa"/>
            <w:vAlign w:val="center"/>
          </w:tcPr>
          <w:p>
            <w:pPr>
              <w:spacing w:before="20" w:after="20"/>
              <w:jc w:val="center"/>
            </w:pPr>
            <w:r>
              <w:rPr>
                <w:color w:val="000000"/>
                <w:sz w:val="19"/>
              </w:rPr>
              <w:t>0.031</w:t>
            </w:r>
          </w:p>
        </w:tc>
      </w:tr>
      <w:tr>
        <w:trPr>
          <w:cantSplit/>
        </w:trPr>
        <w:tc>
          <w:tcPr>
            <w:tcW w:w="2381" w:type="dxa"/>
            <w:vAlign w:val="center"/>
          </w:tcPr>
          <w:p>
            <w:pPr>
              <w:spacing w:before="20" w:after="20"/>
              <w:jc w:val="left"/>
            </w:pPr>
            <w:r>
              <w:rPr>
                <w:color w:val="000000"/>
                <w:sz w:val="19"/>
              </w:rPr>
              <w:t>Stride regularity</w:t>
            </w:r>
          </w:p>
        </w:tc>
        <w:tc>
          <w:tcPr>
            <w:tcW w:w="1134" w:type="dxa"/>
            <w:vAlign w:val="center"/>
          </w:tcPr>
          <w:p>
            <w:pPr>
              <w:spacing w:before="20" w:after="20"/>
              <w:jc w:val="center"/>
            </w:pPr>
            <w:r>
              <w:rPr>
                <w:color w:val="000000"/>
                <w:sz w:val="19"/>
              </w:rPr>
              <w:t>lower</w:t>
            </w:r>
          </w:p>
        </w:tc>
        <w:tc>
          <w:tcPr>
            <w:tcW w:w="1360" w:type="dxa"/>
            <w:vAlign w:val="center"/>
          </w:tcPr>
          <w:p>
            <w:pPr>
              <w:spacing w:before="20" w:after="20"/>
              <w:jc w:val="center"/>
            </w:pPr>
            <w:r>
              <w:rPr>
                <w:color w:val="000000"/>
                <w:sz w:val="19"/>
              </w:rPr>
              <w:t>0.814</w:t>
            </w:r>
          </w:p>
        </w:tc>
        <w:tc>
          <w:tcPr>
            <w:tcW w:w="1587" w:type="dxa"/>
            <w:vAlign w:val="center"/>
          </w:tcPr>
          <w:p>
            <w:pPr>
              <w:spacing w:before="20" w:after="20"/>
              <w:jc w:val="center"/>
            </w:pPr>
            <w:r>
              <w:rPr>
                <w:color w:val="000000"/>
                <w:sz w:val="19"/>
              </w:rPr>
              <w:t>0.828</w:t>
            </w:r>
          </w:p>
        </w:tc>
        <w:tc>
          <w:tcPr>
            <w:tcW w:w="793" w:type="dxa"/>
            <w:vAlign w:val="center"/>
          </w:tcPr>
          <w:p>
            <w:pPr>
              <w:spacing w:before="20" w:after="20"/>
              <w:jc w:val="center"/>
            </w:pPr>
            <w:r>
              <w:rPr>
                <w:color w:val="000000"/>
                <w:sz w:val="19"/>
              </w:rPr>
              <w:t>0.569</w:t>
            </w:r>
          </w:p>
        </w:tc>
        <w:tc>
          <w:tcPr>
            <w:tcW w:w="907" w:type="dxa"/>
            <w:vAlign w:val="center"/>
          </w:tcPr>
          <w:p>
            <w:pPr>
              <w:spacing w:before="20" w:after="20"/>
              <w:jc w:val="center"/>
            </w:pPr>
            <w:r>
              <w:rPr>
                <w:color w:val="000000"/>
                <w:sz w:val="19"/>
              </w:rPr>
              <w:t>0.312</w:t>
            </w:r>
          </w:p>
        </w:tc>
      </w:tr>
      <w:tr>
        <w:trPr>
          <w:cantSplit/>
        </w:trPr>
        <w:tc>
          <w:tcPr>
            <w:tcW w:w="2381" w:type="dxa"/>
            <w:vAlign w:val="center"/>
          </w:tcPr>
          <w:p>
            <w:pPr>
              <w:spacing w:before="20" w:after="20"/>
              <w:jc w:val="left"/>
            </w:pPr>
            <w:r>
              <w:rPr>
                <w:color w:val="000000"/>
                <w:sz w:val="19"/>
              </w:rPr>
              <w:t>Harmonic ratio (AP)</w:t>
            </w:r>
          </w:p>
        </w:tc>
        <w:tc>
          <w:tcPr>
            <w:tcW w:w="1134" w:type="dxa"/>
            <w:vAlign w:val="center"/>
          </w:tcPr>
          <w:p>
            <w:pPr>
              <w:spacing w:before="20" w:after="20"/>
              <w:jc w:val="center"/>
            </w:pPr>
            <w:r>
              <w:rPr>
                <w:color w:val="000000"/>
                <w:sz w:val="19"/>
              </w:rPr>
              <w:t>lower</w:t>
            </w:r>
          </w:p>
        </w:tc>
        <w:tc>
          <w:tcPr>
            <w:tcW w:w="1360" w:type="dxa"/>
            <w:vAlign w:val="center"/>
          </w:tcPr>
          <w:p>
            <w:pPr>
              <w:spacing w:before="20" w:after="20"/>
              <w:jc w:val="center"/>
            </w:pPr>
            <w:r>
              <w:rPr>
                <w:color w:val="000000"/>
                <w:sz w:val="19"/>
              </w:rPr>
              <w:t>2.77</w:t>
            </w:r>
          </w:p>
        </w:tc>
        <w:tc>
          <w:tcPr>
            <w:tcW w:w="1587" w:type="dxa"/>
            <w:vAlign w:val="center"/>
          </w:tcPr>
          <w:p>
            <w:pPr>
              <w:spacing w:before="20" w:after="20"/>
              <w:jc w:val="center"/>
            </w:pPr>
            <w:r>
              <w:rPr>
                <w:color w:val="000000"/>
                <w:sz w:val="19"/>
              </w:rPr>
              <w:t>3.66</w:t>
            </w:r>
          </w:p>
        </w:tc>
        <w:tc>
          <w:tcPr>
            <w:tcW w:w="793" w:type="dxa"/>
            <w:vAlign w:val="center"/>
          </w:tcPr>
          <w:p>
            <w:pPr>
              <w:spacing w:before="20" w:after="20"/>
              <w:jc w:val="center"/>
            </w:pPr>
            <w:r>
              <w:rPr>
                <w:color w:val="000000"/>
                <w:sz w:val="19"/>
              </w:rPr>
              <w:t>0.645</w:t>
            </w:r>
          </w:p>
        </w:tc>
        <w:tc>
          <w:tcPr>
            <w:tcW w:w="907" w:type="dxa"/>
            <w:vAlign w:val="center"/>
          </w:tcPr>
          <w:p>
            <w:pPr>
              <w:spacing w:before="20" w:after="20"/>
              <w:jc w:val="center"/>
            </w:pPr>
            <w:r>
              <w:rPr>
                <w:color w:val="000000"/>
                <w:sz w:val="19"/>
              </w:rPr>
              <w:t>0.034</w:t>
            </w:r>
          </w:p>
        </w:tc>
      </w:tr>
      <w:tr>
        <w:trPr>
          <w:cantSplit/>
        </w:trPr>
        <w:tc>
          <w:tcPr>
            <w:tcW w:w="2381" w:type="dxa"/>
            <w:vAlign w:val="center"/>
          </w:tcPr>
          <w:p>
            <w:pPr>
              <w:spacing w:before="20" w:after="20"/>
              <w:jc w:val="left"/>
            </w:pPr>
            <w:r>
              <w:rPr>
                <w:color w:val="000000"/>
                <w:sz w:val="19"/>
              </w:rPr>
              <w:t>ML/V RMS ratio</w:t>
            </w:r>
          </w:p>
        </w:tc>
        <w:tc>
          <w:tcPr>
            <w:tcW w:w="1134" w:type="dxa"/>
            <w:vAlign w:val="center"/>
          </w:tcPr>
          <w:p>
            <w:pPr>
              <w:spacing w:before="20" w:after="20"/>
              <w:jc w:val="center"/>
            </w:pPr>
            <w:r>
              <w:rPr>
                <w:color w:val="000000"/>
                <w:sz w:val="19"/>
              </w:rPr>
              <w:t>higher</w:t>
            </w:r>
          </w:p>
        </w:tc>
        <w:tc>
          <w:tcPr>
            <w:tcW w:w="1360" w:type="dxa"/>
            <w:vAlign w:val="center"/>
          </w:tcPr>
          <w:p>
            <w:pPr>
              <w:spacing w:before="20" w:after="20"/>
              <w:jc w:val="center"/>
            </w:pPr>
            <w:r>
              <w:rPr>
                <w:color w:val="000000"/>
                <w:sz w:val="19"/>
              </w:rPr>
              <w:t>0.605</w:t>
            </w:r>
          </w:p>
        </w:tc>
        <w:tc>
          <w:tcPr>
            <w:tcW w:w="1587" w:type="dxa"/>
            <w:vAlign w:val="center"/>
          </w:tcPr>
          <w:p>
            <w:pPr>
              <w:spacing w:before="20" w:after="20"/>
              <w:jc w:val="center"/>
            </w:pPr>
            <w:r>
              <w:rPr>
                <w:color w:val="000000"/>
                <w:sz w:val="19"/>
              </w:rPr>
              <w:t>0.589</w:t>
            </w:r>
          </w:p>
        </w:tc>
        <w:tc>
          <w:tcPr>
            <w:tcW w:w="793" w:type="dxa"/>
            <w:vAlign w:val="center"/>
          </w:tcPr>
          <w:p>
            <w:pPr>
              <w:spacing w:before="20" w:after="20"/>
              <w:jc w:val="center"/>
            </w:pPr>
            <w:r>
              <w:rPr>
                <w:color w:val="000000"/>
                <w:sz w:val="19"/>
              </w:rPr>
              <w:t>0.550</w:t>
            </w:r>
          </w:p>
        </w:tc>
        <w:tc>
          <w:tcPr>
            <w:tcW w:w="907" w:type="dxa"/>
            <w:vAlign w:val="center"/>
          </w:tcPr>
          <w:p>
            <w:pPr>
              <w:spacing w:before="20" w:after="20"/>
              <w:jc w:val="center"/>
            </w:pPr>
            <w:r>
              <w:rPr>
                <w:color w:val="000000"/>
                <w:sz w:val="19"/>
              </w:rPr>
              <w:t>0.470</w:t>
            </w:r>
          </w:p>
        </w:tc>
      </w:tr>
    </w:tbl>
    <w:p>
      <w:pPr>
        <w:spacing w:before="0" w:after="120"/>
      </w:pPr>
    </w:p>
    <w:p>
      <w:pPr>
        <w:keepNext/>
        <w:spacing w:before="160" w:after="60"/>
        <w:jc w:val="center"/>
      </w:pPr>
      <w:r>
        <w:drawing>
          <wp:inline xmlns:a="http://schemas.openxmlformats.org/drawingml/2006/main" xmlns:pic="http://schemas.openxmlformats.org/drawingml/2006/picture">
            <wp:extent cx="4140000" cy="3774706"/>
            <wp:docPr id="854119980" name="Picture 854119980"/>
            <wp:cNvGraphicFramePr>
              <a:graphicFrameLocks noChangeAspect="1"/>
            </wp:cNvGraphicFramePr>
            <a:graphic>
              <a:graphicData uri="http://schemas.openxmlformats.org/drawingml/2006/picture">
                <pic:pic>
                  <pic:nvPicPr>
                    <pic:cNvPr id="0" name="ltmm_roc.png"/>
                    <pic:cNvPicPr/>
                  </pic:nvPicPr>
                  <pic:blipFill>
                    <a:blip r:embed="rId29"/>
                    <a:stretch>
                      <a:fillRect/>
                    </a:stretch>
                  </pic:blipFill>
                  <pic:spPr>
                    <a:xfrm>
                      <a:off x="0" y="0"/>
                      <a:ext cx="4140000" cy="3774706"/>
                    </a:xfrm>
                    <a:prstGeom prst="rect"/>
                  </pic:spPr>
                </pic:pic>
              </a:graphicData>
            </a:graphic>
          </wp:inline>
        </w:drawing>
      </w:r>
    </w:p>
    <w:p>
      <w:pPr>
        <w:keepLines/>
        <w:spacing w:before="60" w:after="240"/>
        <w:jc w:val="center"/>
      </w:pPr>
      <w:r>
        <w:rPr>
          <w:i/>
          <w:color w:val="000000"/>
          <w:sz w:val="22"/>
        </w:rPr>
        <w:t>Figure 4.7: ROC curves on real LTMM data: gait indices against clinical tests</w:t>
      </w:r>
    </w:p>
    <w:p>
      <w:pPr>
        <w:keepNext/>
        <w:spacing w:before="160" w:after="60"/>
        <w:jc w:val="center"/>
      </w:pPr>
      <w:r>
        <w:drawing>
          <wp:inline xmlns:a="http://schemas.openxmlformats.org/drawingml/2006/main" xmlns:pic="http://schemas.openxmlformats.org/drawingml/2006/picture">
            <wp:extent cx="4320000" cy="2356364"/>
            <wp:docPr id="854119981" name="Picture 854119981"/>
            <wp:cNvGraphicFramePr>
              <a:graphicFrameLocks noChangeAspect="1"/>
            </wp:cNvGraphicFramePr>
            <a:graphic>
              <a:graphicData uri="http://schemas.openxmlformats.org/drawingml/2006/picture">
                <pic:pic>
                  <pic:nvPicPr>
                    <pic:cNvPr id="0" name="ltmm_feature_auc.png"/>
                    <pic:cNvPicPr/>
                  </pic:nvPicPr>
                  <pic:blipFill>
                    <a:blip r:embed="rId30"/>
                    <a:stretch>
                      <a:fillRect/>
                    </a:stretch>
                  </pic:blipFill>
                  <pic:spPr>
                    <a:xfrm>
                      <a:off x="0" y="0"/>
                      <a:ext cx="4320000" cy="2356364"/>
                    </a:xfrm>
                    <a:prstGeom prst="rect"/>
                  </pic:spPr>
                </pic:pic>
              </a:graphicData>
            </a:graphic>
          </wp:inline>
        </w:drawing>
      </w:r>
    </w:p>
    <w:p>
      <w:pPr>
        <w:keepLines/>
        <w:spacing w:before="60" w:after="240"/>
        <w:jc w:val="center"/>
      </w:pPr>
      <w:r>
        <w:rPr>
          <w:i/>
          <w:color w:val="000000"/>
          <w:sz w:val="22"/>
        </w:rPr>
        <w:t>Figure 4.8: Per-feature AUC of the version 2 gait features (no training on labels)</w:t>
      </w:r>
    </w:p>
    <w:p>
      <w:pPr>
        <w:keepNext/>
        <w:spacing w:before="320" w:after="120"/>
      </w:pPr>
      <w:r>
        <w:rPr>
          <w:b/>
          <w:color w:val="000000"/>
          <w:sz w:val="28"/>
        </w:rPr>
        <w:t>4.7 Experiment 2: Pre-Registered Models</w:t>
      </w:r>
    </w:p>
    <w:p>
      <w:pPr>
        <w:spacing w:after="160" w:line="360" w:lineRule="auto"/>
        <w:ind w:firstLine="0"/>
        <w:jc w:val="both"/>
      </w:pPr>
      <w:r>
        <w:rPr>
          <w:color w:val="000000"/>
        </w:rPr>
        <w:t>Experiment 2 asked whether more features or more complex models could beat the simple index. Seven models were fixed in advance and all are reported (Table 4.7, Figure 4.9). The best was a logistic regression on the five version 2 features (M2, AUC 0.721 ± 0.019). Adding turn features to the untrained index lowered the AUC (M1, 0.634), and random forests did worse than logistic regression (0.593 and 0.586), as expected on only 73 subjects. The pre-registered primary model M4 reached 0.651; a permutation test confirmed that it is better than chance (single-split AUC 0.677 against a null mean of 0.511, p = 0.030). The confidence interval of the untrained index overlaps all trained models, so the explainable index is competitive with trained models on this dataset.</w:t>
      </w:r>
    </w:p>
    <w:p>
      <w:pPr>
        <w:keepNext/>
        <w:spacing w:before="200" w:after="80"/>
        <w:jc w:val="center"/>
      </w:pPr>
      <w:r>
        <w:rPr>
          <w:i/>
          <w:color w:val="000000"/>
          <w:sz w:val="22"/>
        </w:rPr>
        <w:t>Table 4.7: Experiment 2: pre-registered models on the LTMM lab walks (n = 73)</w:t>
      </w:r>
    </w:p>
    <w:tbl>
      <w:tblPr>
        <w:tblStyle w:val="TableGrid"/>
        <w:tblW w:w="8561" w:type="dxa"/>
        <w:jc w:val="center"/>
        <w:tblLayout w:type="fixed"/>
        <w:tblLook w:firstColumn="1" w:firstRow="1" w:lastColumn="0" w:lastRow="0" w:noHBand="0" w:noVBand="1" w:val="04A0"/>
      </w:tblPr>
      <w:tblGrid>
        <w:gridCol w:w="907"/>
        <w:gridCol w:w="3912"/>
        <w:gridCol w:w="793"/>
        <w:gridCol w:w="2041"/>
        <w:gridCol w:w="907"/>
      </w:tblGrid>
      <w:tr>
        <w:trPr>
          <w:cantSplit/>
          <w:tblHeader/>
        </w:trPr>
        <w:tc>
          <w:tcPr>
            <w:tcW w:w="907" w:type="dxa"/>
            <w:shd w:val="clear" w:color="auto" w:fill="E7E6E6"/>
            <w:vAlign w:val="center"/>
          </w:tcPr>
          <w:p>
            <w:pPr>
              <w:spacing w:before="20" w:after="20"/>
              <w:jc w:val="center"/>
            </w:pPr>
            <w:r>
              <w:rPr>
                <w:b/>
                <w:color w:val="000000"/>
                <w:sz w:val="19"/>
              </w:rPr>
              <w:t>Model</w:t>
            </w:r>
          </w:p>
        </w:tc>
        <w:tc>
          <w:tcPr>
            <w:tcW w:w="3912" w:type="dxa"/>
            <w:shd w:val="clear" w:color="auto" w:fill="E7E6E6"/>
            <w:vAlign w:val="center"/>
          </w:tcPr>
          <w:p>
            <w:pPr>
              <w:spacing w:before="20" w:after="20"/>
              <w:jc w:val="center"/>
            </w:pPr>
            <w:r>
              <w:rPr>
                <w:b/>
                <w:color w:val="000000"/>
                <w:sz w:val="19"/>
              </w:rPr>
              <w:t>Description</w:t>
            </w:r>
          </w:p>
        </w:tc>
        <w:tc>
          <w:tcPr>
            <w:tcW w:w="793" w:type="dxa"/>
            <w:shd w:val="clear" w:color="auto" w:fill="E7E6E6"/>
            <w:vAlign w:val="center"/>
          </w:tcPr>
          <w:p>
            <w:pPr>
              <w:spacing w:before="20" w:after="20"/>
              <w:jc w:val="center"/>
            </w:pPr>
            <w:r>
              <w:rPr>
                <w:b/>
                <w:color w:val="000000"/>
                <w:sz w:val="19"/>
              </w:rPr>
              <w:t>AUC</w:t>
            </w:r>
          </w:p>
        </w:tc>
        <w:tc>
          <w:tcPr>
            <w:tcW w:w="2041" w:type="dxa"/>
            <w:shd w:val="clear" w:color="auto" w:fill="E7E6E6"/>
            <w:vAlign w:val="center"/>
          </w:tcPr>
          <w:p>
            <w:pPr>
              <w:spacing w:before="20" w:after="20"/>
              <w:jc w:val="center"/>
            </w:pPr>
            <w:r>
              <w:rPr>
                <w:b/>
                <w:color w:val="000000"/>
                <w:sz w:val="19"/>
              </w:rPr>
              <w:t>Spread</w:t>
            </w:r>
          </w:p>
        </w:tc>
        <w:tc>
          <w:tcPr>
            <w:tcW w:w="907" w:type="dxa"/>
            <w:shd w:val="clear" w:color="auto" w:fill="E7E6E6"/>
            <w:vAlign w:val="center"/>
          </w:tcPr>
          <w:p>
            <w:pPr>
              <w:spacing w:before="20" w:after="20"/>
              <w:jc w:val="center"/>
            </w:pPr>
            <w:r>
              <w:rPr>
                <w:b/>
                <w:color w:val="000000"/>
                <w:sz w:val="19"/>
              </w:rPr>
              <w:t>Trained</w:t>
            </w:r>
          </w:p>
        </w:tc>
      </w:tr>
      <w:tr>
        <w:trPr>
          <w:cantSplit/>
        </w:trPr>
        <w:tc>
          <w:tcPr>
            <w:tcW w:w="907" w:type="dxa"/>
            <w:vAlign w:val="center"/>
          </w:tcPr>
          <w:p>
            <w:pPr>
              <w:spacing w:before="20" w:after="20"/>
              <w:jc w:val="center"/>
            </w:pPr>
            <w:r>
              <w:rPr>
                <w:color w:val="000000"/>
                <w:sz w:val="19"/>
              </w:rPr>
              <w:t>M0</w:t>
            </w:r>
          </w:p>
        </w:tc>
        <w:tc>
          <w:tcPr>
            <w:tcW w:w="3912" w:type="dxa"/>
            <w:vAlign w:val="center"/>
          </w:tcPr>
          <w:p>
            <w:pPr>
              <w:spacing w:before="20" w:after="20"/>
              <w:jc w:val="left"/>
            </w:pPr>
            <w:r>
              <w:rPr>
                <w:color w:val="000000"/>
                <w:sz w:val="19"/>
              </w:rPr>
              <w:t>v2 Gait Index (untrained)</w:t>
            </w:r>
          </w:p>
        </w:tc>
        <w:tc>
          <w:tcPr>
            <w:tcW w:w="793" w:type="dxa"/>
            <w:vAlign w:val="center"/>
          </w:tcPr>
          <w:p>
            <w:pPr>
              <w:spacing w:before="20" w:after="20"/>
              <w:jc w:val="center"/>
            </w:pPr>
            <w:r>
              <w:rPr>
                <w:color w:val="000000"/>
                <w:sz w:val="19"/>
              </w:rPr>
              <w:t>0.686</w:t>
            </w:r>
          </w:p>
        </w:tc>
        <w:tc>
          <w:tcPr>
            <w:tcW w:w="2041" w:type="dxa"/>
            <w:vAlign w:val="center"/>
          </w:tcPr>
          <w:p>
            <w:pPr>
              <w:spacing w:before="20" w:after="20"/>
              <w:jc w:val="center"/>
            </w:pPr>
            <w:r>
              <w:rPr>
                <w:color w:val="000000"/>
                <w:sz w:val="19"/>
              </w:rPr>
              <w:t>95% CI 0.561 – 0.808</w:t>
            </w:r>
          </w:p>
        </w:tc>
        <w:tc>
          <w:tcPr>
            <w:tcW w:w="907" w:type="dxa"/>
            <w:vAlign w:val="center"/>
          </w:tcPr>
          <w:p>
            <w:pPr>
              <w:spacing w:before="20" w:after="20"/>
              <w:jc w:val="center"/>
            </w:pPr>
            <w:r>
              <w:rPr>
                <w:color w:val="000000"/>
                <w:sz w:val="19"/>
              </w:rPr>
              <w:t>No</w:t>
            </w:r>
          </w:p>
        </w:tc>
      </w:tr>
      <w:tr>
        <w:trPr>
          <w:cantSplit/>
        </w:trPr>
        <w:tc>
          <w:tcPr>
            <w:tcW w:w="907" w:type="dxa"/>
            <w:vAlign w:val="center"/>
          </w:tcPr>
          <w:p>
            <w:pPr>
              <w:spacing w:before="20" w:after="20"/>
              <w:jc w:val="center"/>
            </w:pPr>
            <w:r>
              <w:rPr>
                <w:color w:val="000000"/>
                <w:sz w:val="19"/>
              </w:rPr>
              <w:t>M1</w:t>
            </w:r>
          </w:p>
        </w:tc>
        <w:tc>
          <w:tcPr>
            <w:tcW w:w="3912" w:type="dxa"/>
            <w:vAlign w:val="center"/>
          </w:tcPr>
          <w:p>
            <w:pPr>
              <w:spacing w:before="20" w:after="20"/>
              <w:jc w:val="left"/>
            </w:pPr>
            <w:r>
              <w:rPr>
                <w:color w:val="000000"/>
                <w:sz w:val="19"/>
              </w:rPr>
              <w:t>v3 Index: gait + turns (untrained)</w:t>
            </w:r>
          </w:p>
        </w:tc>
        <w:tc>
          <w:tcPr>
            <w:tcW w:w="793" w:type="dxa"/>
            <w:vAlign w:val="center"/>
          </w:tcPr>
          <w:p>
            <w:pPr>
              <w:spacing w:before="20" w:after="20"/>
              <w:jc w:val="center"/>
            </w:pPr>
            <w:r>
              <w:rPr>
                <w:color w:val="000000"/>
                <w:sz w:val="19"/>
              </w:rPr>
              <w:t>0.634</w:t>
            </w:r>
          </w:p>
        </w:tc>
        <w:tc>
          <w:tcPr>
            <w:tcW w:w="2041" w:type="dxa"/>
            <w:vAlign w:val="center"/>
          </w:tcPr>
          <w:p>
            <w:pPr>
              <w:spacing w:before="20" w:after="20"/>
              <w:jc w:val="center"/>
            </w:pPr>
            <w:r>
              <w:rPr>
                <w:color w:val="000000"/>
                <w:sz w:val="19"/>
              </w:rPr>
              <w:t>95% CI 0.508 – 0.761</w:t>
            </w:r>
          </w:p>
        </w:tc>
        <w:tc>
          <w:tcPr>
            <w:tcW w:w="907" w:type="dxa"/>
            <w:vAlign w:val="center"/>
          </w:tcPr>
          <w:p>
            <w:pPr>
              <w:spacing w:before="20" w:after="20"/>
              <w:jc w:val="center"/>
            </w:pPr>
            <w:r>
              <w:rPr>
                <w:color w:val="000000"/>
                <w:sz w:val="19"/>
              </w:rPr>
              <w:t>No</w:t>
            </w:r>
          </w:p>
        </w:tc>
      </w:tr>
      <w:tr>
        <w:trPr>
          <w:cantSplit/>
        </w:trPr>
        <w:tc>
          <w:tcPr>
            <w:tcW w:w="907" w:type="dxa"/>
            <w:vAlign w:val="center"/>
          </w:tcPr>
          <w:p>
            <w:pPr>
              <w:spacing w:before="20" w:after="20"/>
              <w:jc w:val="center"/>
            </w:pPr>
            <w:r>
              <w:rPr>
                <w:color w:val="000000"/>
                <w:sz w:val="19"/>
              </w:rPr>
              <w:t>M2</w:t>
            </w:r>
          </w:p>
        </w:tc>
        <w:tc>
          <w:tcPr>
            <w:tcW w:w="3912" w:type="dxa"/>
            <w:vAlign w:val="center"/>
          </w:tcPr>
          <w:p>
            <w:pPr>
              <w:spacing w:before="20" w:after="20"/>
              <w:jc w:val="left"/>
            </w:pPr>
            <w:r>
              <w:rPr>
                <w:color w:val="000000"/>
                <w:sz w:val="19"/>
              </w:rPr>
              <w:t>Logistic regression: v2 features</w:t>
            </w:r>
          </w:p>
        </w:tc>
        <w:tc>
          <w:tcPr>
            <w:tcW w:w="793" w:type="dxa"/>
            <w:vAlign w:val="center"/>
          </w:tcPr>
          <w:p>
            <w:pPr>
              <w:spacing w:before="20" w:after="20"/>
              <w:jc w:val="center"/>
            </w:pPr>
            <w:r>
              <w:rPr>
                <w:color w:val="000000"/>
                <w:sz w:val="19"/>
              </w:rPr>
              <w:t>0.721</w:t>
            </w:r>
          </w:p>
        </w:tc>
        <w:tc>
          <w:tcPr>
            <w:tcW w:w="2041" w:type="dxa"/>
            <w:vAlign w:val="center"/>
          </w:tcPr>
          <w:p>
            <w:pPr>
              <w:spacing w:before="20" w:after="20"/>
              <w:jc w:val="center"/>
            </w:pPr>
            <w:r>
              <w:rPr>
                <w:color w:val="000000"/>
                <w:sz w:val="19"/>
              </w:rPr>
              <w:t>± 0.019</w:t>
            </w:r>
          </w:p>
        </w:tc>
        <w:tc>
          <w:tcPr>
            <w:tcW w:w="907" w:type="dxa"/>
            <w:vAlign w:val="center"/>
          </w:tcPr>
          <w:p>
            <w:pPr>
              <w:spacing w:before="20" w:after="20"/>
              <w:jc w:val="center"/>
            </w:pPr>
            <w:r>
              <w:rPr>
                <w:color w:val="000000"/>
                <w:sz w:val="19"/>
              </w:rPr>
              <w:t>Yes</w:t>
            </w:r>
          </w:p>
        </w:tc>
      </w:tr>
      <w:tr>
        <w:trPr>
          <w:cantSplit/>
        </w:trPr>
        <w:tc>
          <w:tcPr>
            <w:tcW w:w="907" w:type="dxa"/>
            <w:vAlign w:val="center"/>
          </w:tcPr>
          <w:p>
            <w:pPr>
              <w:spacing w:before="20" w:after="20"/>
              <w:jc w:val="center"/>
            </w:pPr>
            <w:r>
              <w:rPr>
                <w:color w:val="000000"/>
                <w:sz w:val="19"/>
              </w:rPr>
              <w:t>M3</w:t>
            </w:r>
          </w:p>
        </w:tc>
        <w:tc>
          <w:tcPr>
            <w:tcW w:w="3912" w:type="dxa"/>
            <w:vAlign w:val="center"/>
          </w:tcPr>
          <w:p>
            <w:pPr>
              <w:spacing w:before="20" w:after="20"/>
              <w:jc w:val="left"/>
            </w:pPr>
            <w:r>
              <w:rPr>
                <w:color w:val="000000"/>
                <w:sz w:val="19"/>
              </w:rPr>
              <w:t>Logistic regression: v3 gait + turns (k = 8)</w:t>
            </w:r>
          </w:p>
        </w:tc>
        <w:tc>
          <w:tcPr>
            <w:tcW w:w="793" w:type="dxa"/>
            <w:vAlign w:val="center"/>
          </w:tcPr>
          <w:p>
            <w:pPr>
              <w:spacing w:before="20" w:after="20"/>
              <w:jc w:val="center"/>
            </w:pPr>
            <w:r>
              <w:rPr>
                <w:color w:val="000000"/>
                <w:sz w:val="19"/>
              </w:rPr>
              <w:t>0.661</w:t>
            </w:r>
          </w:p>
        </w:tc>
        <w:tc>
          <w:tcPr>
            <w:tcW w:w="2041" w:type="dxa"/>
            <w:vAlign w:val="center"/>
          </w:tcPr>
          <w:p>
            <w:pPr>
              <w:spacing w:before="20" w:after="20"/>
              <w:jc w:val="center"/>
            </w:pPr>
            <w:r>
              <w:rPr>
                <w:color w:val="000000"/>
                <w:sz w:val="19"/>
              </w:rPr>
              <w:t>± 0.030</w:t>
            </w:r>
          </w:p>
        </w:tc>
        <w:tc>
          <w:tcPr>
            <w:tcW w:w="907" w:type="dxa"/>
            <w:vAlign w:val="center"/>
          </w:tcPr>
          <w:p>
            <w:pPr>
              <w:spacing w:before="20" w:after="20"/>
              <w:jc w:val="center"/>
            </w:pPr>
            <w:r>
              <w:rPr>
                <w:color w:val="000000"/>
                <w:sz w:val="19"/>
              </w:rPr>
              <w:t>Yes</w:t>
            </w:r>
          </w:p>
        </w:tc>
      </w:tr>
      <w:tr>
        <w:trPr>
          <w:cantSplit/>
        </w:trPr>
        <w:tc>
          <w:tcPr>
            <w:tcW w:w="907" w:type="dxa"/>
            <w:vAlign w:val="center"/>
          </w:tcPr>
          <w:p>
            <w:pPr>
              <w:spacing w:before="20" w:after="20"/>
              <w:jc w:val="center"/>
            </w:pPr>
            <w:r>
              <w:rPr>
                <w:color w:val="000000"/>
                <w:sz w:val="19"/>
              </w:rPr>
              <w:t>M4</w:t>
            </w:r>
          </w:p>
        </w:tc>
        <w:tc>
          <w:tcPr>
            <w:tcW w:w="3912" w:type="dxa"/>
            <w:vAlign w:val="center"/>
          </w:tcPr>
          <w:p>
            <w:pPr>
              <w:spacing w:before="20" w:after="20"/>
              <w:jc w:val="left"/>
            </w:pPr>
            <w:r>
              <w:rPr>
                <w:color w:val="000000"/>
                <w:sz w:val="19"/>
              </w:rPr>
              <w:t>Logistic regression: v3 + age + sex (k = 8) — primary</w:t>
            </w:r>
          </w:p>
        </w:tc>
        <w:tc>
          <w:tcPr>
            <w:tcW w:w="793" w:type="dxa"/>
            <w:vAlign w:val="center"/>
          </w:tcPr>
          <w:p>
            <w:pPr>
              <w:spacing w:before="20" w:after="20"/>
              <w:jc w:val="center"/>
            </w:pPr>
            <w:r>
              <w:rPr>
                <w:color w:val="000000"/>
                <w:sz w:val="19"/>
              </w:rPr>
              <w:t>0.651</w:t>
            </w:r>
          </w:p>
        </w:tc>
        <w:tc>
          <w:tcPr>
            <w:tcW w:w="2041" w:type="dxa"/>
            <w:vAlign w:val="center"/>
          </w:tcPr>
          <w:p>
            <w:pPr>
              <w:spacing w:before="20" w:after="20"/>
              <w:jc w:val="center"/>
            </w:pPr>
            <w:r>
              <w:rPr>
                <w:color w:val="000000"/>
                <w:sz w:val="19"/>
              </w:rPr>
              <w:t>± 0.031</w:t>
            </w:r>
          </w:p>
        </w:tc>
        <w:tc>
          <w:tcPr>
            <w:tcW w:w="907" w:type="dxa"/>
            <w:vAlign w:val="center"/>
          </w:tcPr>
          <w:p>
            <w:pPr>
              <w:spacing w:before="20" w:after="20"/>
              <w:jc w:val="center"/>
            </w:pPr>
            <w:r>
              <w:rPr>
                <w:color w:val="000000"/>
                <w:sz w:val="19"/>
              </w:rPr>
              <w:t>Yes</w:t>
            </w:r>
          </w:p>
        </w:tc>
      </w:tr>
      <w:tr>
        <w:trPr>
          <w:cantSplit/>
        </w:trPr>
        <w:tc>
          <w:tcPr>
            <w:tcW w:w="907" w:type="dxa"/>
            <w:vAlign w:val="center"/>
          </w:tcPr>
          <w:p>
            <w:pPr>
              <w:spacing w:before="20" w:after="20"/>
              <w:jc w:val="center"/>
            </w:pPr>
            <w:r>
              <w:rPr>
                <w:color w:val="000000"/>
                <w:sz w:val="19"/>
              </w:rPr>
              <w:t>M5</w:t>
            </w:r>
          </w:p>
        </w:tc>
        <w:tc>
          <w:tcPr>
            <w:tcW w:w="3912" w:type="dxa"/>
            <w:vAlign w:val="center"/>
          </w:tcPr>
          <w:p>
            <w:pPr>
              <w:spacing w:before="20" w:after="20"/>
              <w:jc w:val="left"/>
            </w:pPr>
            <w:r>
              <w:rPr>
                <w:color w:val="000000"/>
                <w:sz w:val="19"/>
              </w:rPr>
              <w:t>Random forest: v3 gait + turns</w:t>
            </w:r>
          </w:p>
        </w:tc>
        <w:tc>
          <w:tcPr>
            <w:tcW w:w="793" w:type="dxa"/>
            <w:vAlign w:val="center"/>
          </w:tcPr>
          <w:p>
            <w:pPr>
              <w:spacing w:before="20" w:after="20"/>
              <w:jc w:val="center"/>
            </w:pPr>
            <w:r>
              <w:rPr>
                <w:color w:val="000000"/>
                <w:sz w:val="19"/>
              </w:rPr>
              <w:t>0.593</w:t>
            </w:r>
          </w:p>
        </w:tc>
        <w:tc>
          <w:tcPr>
            <w:tcW w:w="2041" w:type="dxa"/>
            <w:vAlign w:val="center"/>
          </w:tcPr>
          <w:p>
            <w:pPr>
              <w:spacing w:before="20" w:after="20"/>
              <w:jc w:val="center"/>
            </w:pPr>
            <w:r>
              <w:rPr>
                <w:color w:val="000000"/>
                <w:sz w:val="19"/>
              </w:rPr>
              <w:t>± 0.023</w:t>
            </w:r>
          </w:p>
        </w:tc>
        <w:tc>
          <w:tcPr>
            <w:tcW w:w="907" w:type="dxa"/>
            <w:vAlign w:val="center"/>
          </w:tcPr>
          <w:p>
            <w:pPr>
              <w:spacing w:before="20" w:after="20"/>
              <w:jc w:val="center"/>
            </w:pPr>
            <w:r>
              <w:rPr>
                <w:color w:val="000000"/>
                <w:sz w:val="19"/>
              </w:rPr>
              <w:t>Yes</w:t>
            </w:r>
          </w:p>
        </w:tc>
      </w:tr>
      <w:tr>
        <w:trPr>
          <w:cantSplit/>
        </w:trPr>
        <w:tc>
          <w:tcPr>
            <w:tcW w:w="907" w:type="dxa"/>
            <w:vAlign w:val="center"/>
          </w:tcPr>
          <w:p>
            <w:pPr>
              <w:spacing w:before="20" w:after="20"/>
              <w:jc w:val="center"/>
            </w:pPr>
            <w:r>
              <w:rPr>
                <w:color w:val="000000"/>
                <w:sz w:val="19"/>
              </w:rPr>
              <w:t>M6</w:t>
            </w:r>
          </w:p>
        </w:tc>
        <w:tc>
          <w:tcPr>
            <w:tcW w:w="3912" w:type="dxa"/>
            <w:vAlign w:val="center"/>
          </w:tcPr>
          <w:p>
            <w:pPr>
              <w:spacing w:before="20" w:after="20"/>
              <w:jc w:val="left"/>
            </w:pPr>
            <w:r>
              <w:rPr>
                <w:color w:val="000000"/>
                <w:sz w:val="19"/>
              </w:rPr>
              <w:t>Random forest: v3 + age + sex</w:t>
            </w:r>
          </w:p>
        </w:tc>
        <w:tc>
          <w:tcPr>
            <w:tcW w:w="793" w:type="dxa"/>
            <w:vAlign w:val="center"/>
          </w:tcPr>
          <w:p>
            <w:pPr>
              <w:spacing w:before="20" w:after="20"/>
              <w:jc w:val="center"/>
            </w:pPr>
            <w:r>
              <w:rPr>
                <w:color w:val="000000"/>
                <w:sz w:val="19"/>
              </w:rPr>
              <w:t>0.586</w:t>
            </w:r>
          </w:p>
        </w:tc>
        <w:tc>
          <w:tcPr>
            <w:tcW w:w="2041" w:type="dxa"/>
            <w:vAlign w:val="center"/>
          </w:tcPr>
          <w:p>
            <w:pPr>
              <w:spacing w:before="20" w:after="20"/>
              <w:jc w:val="center"/>
            </w:pPr>
            <w:r>
              <w:rPr>
                <w:color w:val="000000"/>
                <w:sz w:val="19"/>
              </w:rPr>
              <w:t>± 0.026</w:t>
            </w:r>
          </w:p>
        </w:tc>
        <w:tc>
          <w:tcPr>
            <w:tcW w:w="907" w:type="dxa"/>
            <w:vAlign w:val="center"/>
          </w:tcPr>
          <w:p>
            <w:pPr>
              <w:spacing w:before="20" w:after="20"/>
              <w:jc w:val="center"/>
            </w:pPr>
            <w:r>
              <w:rPr>
                <w:color w:val="000000"/>
                <w:sz w:val="19"/>
              </w:rPr>
              <w:t>Yes</w:t>
            </w:r>
          </w:p>
        </w:tc>
      </w:tr>
    </w:tbl>
    <w:p>
      <w:pPr>
        <w:spacing w:before="0" w:after="120"/>
      </w:pPr>
    </w:p>
    <w:p>
      <w:pPr>
        <w:keepNext/>
        <w:spacing w:before="160" w:after="60"/>
        <w:jc w:val="center"/>
      </w:pPr>
      <w:r>
        <w:drawing>
          <wp:inline xmlns:a="http://schemas.openxmlformats.org/drawingml/2006/main" xmlns:pic="http://schemas.openxmlformats.org/drawingml/2006/picture">
            <wp:extent cx="4680000" cy="2527200"/>
            <wp:docPr id="854119982" name="Picture 854119982"/>
            <wp:cNvGraphicFramePr>
              <a:graphicFrameLocks noChangeAspect="1"/>
            </wp:cNvGraphicFramePr>
            <a:graphic>
              <a:graphicData uri="http://schemas.openxmlformats.org/drawingml/2006/picture">
                <pic:pic>
                  <pic:nvPicPr>
                    <pic:cNvPr id="0" name="ltmm_exp2_models.png"/>
                    <pic:cNvPicPr/>
                  </pic:nvPicPr>
                  <pic:blipFill>
                    <a:blip r:embed="rId31"/>
                    <a:stretch>
                      <a:fillRect/>
                    </a:stretch>
                  </pic:blipFill>
                  <pic:spPr>
                    <a:xfrm>
                      <a:off x="0" y="0"/>
                      <a:ext cx="4680000" cy="2527200"/>
                    </a:xfrm>
                    <a:prstGeom prst="rect"/>
                  </pic:spPr>
                </pic:pic>
              </a:graphicData>
            </a:graphic>
          </wp:inline>
        </w:drawing>
      </w:r>
    </w:p>
    <w:p>
      <w:pPr>
        <w:keepLines/>
        <w:spacing w:before="60" w:after="240"/>
        <w:jc w:val="center"/>
      </w:pPr>
      <w:r>
        <w:rPr>
          <w:i/>
          <w:color w:val="000000"/>
          <w:sz w:val="22"/>
        </w:rPr>
        <w:t>Figure 4.9: Experiment 2: all pre-registered models (subject-wise cross-validation)</w:t>
      </w:r>
    </w:p>
    <w:p>
      <w:pPr>
        <w:keepNext/>
        <w:spacing w:before="320" w:after="120"/>
      </w:pPr>
      <w:r>
        <w:rPr>
          <w:b/>
          <w:color w:val="000000"/>
          <w:sz w:val="28"/>
        </w:rPr>
        <w:t>4.8 Experiment 3: Daily-Life Walking</w:t>
      </w:r>
    </w:p>
    <w:p>
      <w:pPr>
        <w:spacing w:after="160" w:line="360" w:lineRule="auto"/>
        <w:ind w:firstLine="0"/>
        <w:jc w:val="both"/>
      </w:pPr>
      <w:r>
        <w:rPr>
          <w:color w:val="000000"/>
        </w:rPr>
        <w:t>Experiment 3 tested whether gait measured during three days of free living adds information to the one-minute lab walk (Table 4.8, Figure 4.10). It did not: on the 64 subjects who had both, the best model with daily-life features (D3, 0.650) did not improve on the lab index alone (M0, 0.655), and the pre-registered combined index D1 reached 0.636 (permutation p = 0.030). Daily-life features alone were weak (D0 0.587, D2 0.519). Cadence was again the most consistent marker (daily-life AUC 0.659). We report this negative result because it was pre-registered and because it shows that more data does not automatically mean better discrimination.</w:t>
      </w:r>
    </w:p>
    <w:p>
      <w:pPr>
        <w:keepNext/>
        <w:spacing w:before="200" w:after="80"/>
        <w:jc w:val="center"/>
      </w:pPr>
      <w:r>
        <w:rPr>
          <w:i/>
          <w:color w:val="000000"/>
          <w:sz w:val="22"/>
        </w:rPr>
        <w:t>Table 4.8: Experiment 3: adding daily-life walking from 3-day recordings</w:t>
      </w:r>
    </w:p>
    <w:tbl>
      <w:tblPr>
        <w:tblStyle w:val="TableGrid"/>
        <w:tblW w:w="8561" w:type="dxa"/>
        <w:jc w:val="center"/>
        <w:tblLayout w:type="fixed"/>
        <w:tblLook w:firstColumn="1" w:firstRow="1" w:lastColumn="0" w:lastRow="0" w:noHBand="0" w:noVBand="1" w:val="04A0"/>
      </w:tblPr>
      <w:tblGrid>
        <w:gridCol w:w="907"/>
        <w:gridCol w:w="4025"/>
        <w:gridCol w:w="567"/>
        <w:gridCol w:w="793"/>
        <w:gridCol w:w="2268"/>
      </w:tblGrid>
      <w:tr>
        <w:trPr>
          <w:cantSplit/>
          <w:tblHeader/>
        </w:trPr>
        <w:tc>
          <w:tcPr>
            <w:tcW w:w="907" w:type="dxa"/>
            <w:shd w:val="clear" w:color="auto" w:fill="E7E6E6"/>
            <w:vAlign w:val="center"/>
          </w:tcPr>
          <w:p>
            <w:pPr>
              <w:spacing w:before="20" w:after="20"/>
              <w:jc w:val="center"/>
            </w:pPr>
            <w:r>
              <w:rPr>
                <w:b/>
                <w:color w:val="000000"/>
                <w:sz w:val="19"/>
              </w:rPr>
              <w:t>Model</w:t>
            </w:r>
          </w:p>
        </w:tc>
        <w:tc>
          <w:tcPr>
            <w:tcW w:w="4025" w:type="dxa"/>
            <w:shd w:val="clear" w:color="auto" w:fill="E7E6E6"/>
            <w:vAlign w:val="center"/>
          </w:tcPr>
          <w:p>
            <w:pPr>
              <w:spacing w:before="20" w:after="20"/>
              <w:jc w:val="center"/>
            </w:pPr>
            <w:r>
              <w:rPr>
                <w:b/>
                <w:color w:val="000000"/>
                <w:sz w:val="19"/>
              </w:rPr>
              <w:t>Description</w:t>
            </w:r>
          </w:p>
        </w:tc>
        <w:tc>
          <w:tcPr>
            <w:tcW w:w="567" w:type="dxa"/>
            <w:shd w:val="clear" w:color="auto" w:fill="E7E6E6"/>
            <w:vAlign w:val="center"/>
          </w:tcPr>
          <w:p>
            <w:pPr>
              <w:spacing w:before="20" w:after="20"/>
              <w:jc w:val="center"/>
            </w:pPr>
            <w:r>
              <w:rPr>
                <w:b/>
                <w:color w:val="000000"/>
                <w:sz w:val="19"/>
              </w:rPr>
              <w:t>n</w:t>
            </w:r>
          </w:p>
        </w:tc>
        <w:tc>
          <w:tcPr>
            <w:tcW w:w="793" w:type="dxa"/>
            <w:shd w:val="clear" w:color="auto" w:fill="E7E6E6"/>
            <w:vAlign w:val="center"/>
          </w:tcPr>
          <w:p>
            <w:pPr>
              <w:spacing w:before="20" w:after="20"/>
              <w:jc w:val="center"/>
            </w:pPr>
            <w:r>
              <w:rPr>
                <w:b/>
                <w:color w:val="000000"/>
                <w:sz w:val="19"/>
              </w:rPr>
              <w:t>AUC</w:t>
            </w:r>
          </w:p>
        </w:tc>
        <w:tc>
          <w:tcPr>
            <w:tcW w:w="2268" w:type="dxa"/>
            <w:shd w:val="clear" w:color="auto" w:fill="E7E6E6"/>
            <w:vAlign w:val="center"/>
          </w:tcPr>
          <w:p>
            <w:pPr>
              <w:spacing w:before="20" w:after="20"/>
              <w:jc w:val="center"/>
            </w:pPr>
            <w:r>
              <w:rPr>
                <w:b/>
                <w:color w:val="000000"/>
                <w:sz w:val="19"/>
              </w:rPr>
              <w:t>Spread</w:t>
            </w:r>
          </w:p>
        </w:tc>
      </w:tr>
      <w:tr>
        <w:trPr>
          <w:cantSplit/>
        </w:trPr>
        <w:tc>
          <w:tcPr>
            <w:tcW w:w="907" w:type="dxa"/>
            <w:vAlign w:val="center"/>
          </w:tcPr>
          <w:p>
            <w:pPr>
              <w:spacing w:before="20" w:after="20"/>
              <w:jc w:val="center"/>
            </w:pPr>
            <w:r>
              <w:rPr>
                <w:color w:val="000000"/>
                <w:sz w:val="19"/>
              </w:rPr>
              <w:t>M0</w:t>
            </w:r>
          </w:p>
        </w:tc>
        <w:tc>
          <w:tcPr>
            <w:tcW w:w="4025" w:type="dxa"/>
            <w:vAlign w:val="center"/>
          </w:tcPr>
          <w:p>
            <w:pPr>
              <w:spacing w:before="20" w:after="20"/>
              <w:jc w:val="left"/>
            </w:pPr>
            <w:r>
              <w:rPr>
                <w:color w:val="000000"/>
                <w:sz w:val="19"/>
              </w:rPr>
              <w:t>Lab v2 index, same subjects (reference)</w:t>
            </w:r>
          </w:p>
        </w:tc>
        <w:tc>
          <w:tcPr>
            <w:tcW w:w="567" w:type="dxa"/>
            <w:vAlign w:val="center"/>
          </w:tcPr>
          <w:p>
            <w:pPr>
              <w:spacing w:before="20" w:after="20"/>
              <w:jc w:val="center"/>
            </w:pPr>
            <w:r>
              <w:rPr>
                <w:color w:val="000000"/>
                <w:sz w:val="19"/>
              </w:rPr>
              <w:t>64</w:t>
            </w:r>
          </w:p>
        </w:tc>
        <w:tc>
          <w:tcPr>
            <w:tcW w:w="793" w:type="dxa"/>
            <w:vAlign w:val="center"/>
          </w:tcPr>
          <w:p>
            <w:pPr>
              <w:spacing w:before="20" w:after="20"/>
              <w:jc w:val="center"/>
            </w:pPr>
            <w:r>
              <w:rPr>
                <w:color w:val="000000"/>
                <w:sz w:val="19"/>
              </w:rPr>
              <w:t>0.655</w:t>
            </w:r>
          </w:p>
        </w:tc>
        <w:tc>
          <w:tcPr>
            <w:tcW w:w="2268" w:type="dxa"/>
            <w:vAlign w:val="center"/>
          </w:tcPr>
          <w:p>
            <w:pPr>
              <w:spacing w:before="20" w:after="20"/>
              <w:jc w:val="center"/>
            </w:pPr>
            <w:r>
              <w:rPr>
                <w:color w:val="000000"/>
                <w:sz w:val="19"/>
              </w:rPr>
              <w:t>95% CI 0.506 – 0.793</w:t>
            </w:r>
          </w:p>
        </w:tc>
      </w:tr>
      <w:tr>
        <w:trPr>
          <w:cantSplit/>
        </w:trPr>
        <w:tc>
          <w:tcPr>
            <w:tcW w:w="907" w:type="dxa"/>
            <w:vAlign w:val="center"/>
          </w:tcPr>
          <w:p>
            <w:pPr>
              <w:spacing w:before="20" w:after="20"/>
              <w:jc w:val="center"/>
            </w:pPr>
            <w:r>
              <w:rPr>
                <w:color w:val="000000"/>
                <w:sz w:val="19"/>
              </w:rPr>
              <w:t>D0</w:t>
            </w:r>
          </w:p>
        </w:tc>
        <w:tc>
          <w:tcPr>
            <w:tcW w:w="4025" w:type="dxa"/>
            <w:vAlign w:val="center"/>
          </w:tcPr>
          <w:p>
            <w:pPr>
              <w:spacing w:before="20" w:after="20"/>
              <w:jc w:val="left"/>
            </w:pPr>
            <w:r>
              <w:rPr>
                <w:color w:val="000000"/>
                <w:sz w:val="19"/>
              </w:rPr>
              <w:t>Daily-life index (untrained)</w:t>
            </w:r>
          </w:p>
        </w:tc>
        <w:tc>
          <w:tcPr>
            <w:tcW w:w="567" w:type="dxa"/>
            <w:vAlign w:val="center"/>
          </w:tcPr>
          <w:p>
            <w:pPr>
              <w:spacing w:before="20" w:after="20"/>
              <w:jc w:val="center"/>
            </w:pPr>
            <w:r>
              <w:rPr>
                <w:color w:val="000000"/>
                <w:sz w:val="19"/>
              </w:rPr>
              <w:t>71</w:t>
            </w:r>
          </w:p>
        </w:tc>
        <w:tc>
          <w:tcPr>
            <w:tcW w:w="793" w:type="dxa"/>
            <w:vAlign w:val="center"/>
          </w:tcPr>
          <w:p>
            <w:pPr>
              <w:spacing w:before="20" w:after="20"/>
              <w:jc w:val="center"/>
            </w:pPr>
            <w:r>
              <w:rPr>
                <w:color w:val="000000"/>
                <w:sz w:val="19"/>
              </w:rPr>
              <w:t>0.587</w:t>
            </w:r>
          </w:p>
        </w:tc>
        <w:tc>
          <w:tcPr>
            <w:tcW w:w="2268" w:type="dxa"/>
            <w:vAlign w:val="center"/>
          </w:tcPr>
          <w:p>
            <w:pPr>
              <w:spacing w:before="20" w:after="20"/>
              <w:jc w:val="center"/>
            </w:pPr>
            <w:r>
              <w:rPr>
                <w:color w:val="000000"/>
                <w:sz w:val="19"/>
              </w:rPr>
              <w:t>95% CI 0.447 – 0.721</w:t>
            </w:r>
          </w:p>
        </w:tc>
      </w:tr>
      <w:tr>
        <w:trPr>
          <w:cantSplit/>
        </w:trPr>
        <w:tc>
          <w:tcPr>
            <w:tcW w:w="907" w:type="dxa"/>
            <w:vAlign w:val="center"/>
          </w:tcPr>
          <w:p>
            <w:pPr>
              <w:spacing w:before="20" w:after="20"/>
              <w:jc w:val="center"/>
            </w:pPr>
            <w:r>
              <w:rPr>
                <w:color w:val="000000"/>
                <w:sz w:val="19"/>
              </w:rPr>
              <w:t>D1</w:t>
            </w:r>
          </w:p>
        </w:tc>
        <w:tc>
          <w:tcPr>
            <w:tcW w:w="4025" w:type="dxa"/>
            <w:vAlign w:val="center"/>
          </w:tcPr>
          <w:p>
            <w:pPr>
              <w:spacing w:before="20" w:after="20"/>
              <w:jc w:val="left"/>
            </w:pPr>
            <w:r>
              <w:rPr>
                <w:color w:val="000000"/>
                <w:sz w:val="19"/>
              </w:rPr>
              <w:t>Combined lab + daily index (untrained) — primary</w:t>
            </w:r>
          </w:p>
        </w:tc>
        <w:tc>
          <w:tcPr>
            <w:tcW w:w="567" w:type="dxa"/>
            <w:vAlign w:val="center"/>
          </w:tcPr>
          <w:p>
            <w:pPr>
              <w:spacing w:before="20" w:after="20"/>
              <w:jc w:val="center"/>
            </w:pPr>
            <w:r>
              <w:rPr>
                <w:color w:val="000000"/>
                <w:sz w:val="19"/>
              </w:rPr>
              <w:t>64</w:t>
            </w:r>
          </w:p>
        </w:tc>
        <w:tc>
          <w:tcPr>
            <w:tcW w:w="793" w:type="dxa"/>
            <w:vAlign w:val="center"/>
          </w:tcPr>
          <w:p>
            <w:pPr>
              <w:spacing w:before="20" w:after="20"/>
              <w:jc w:val="center"/>
            </w:pPr>
            <w:r>
              <w:rPr>
                <w:color w:val="000000"/>
                <w:sz w:val="19"/>
              </w:rPr>
              <w:t>0.636</w:t>
            </w:r>
          </w:p>
        </w:tc>
        <w:tc>
          <w:tcPr>
            <w:tcW w:w="2268" w:type="dxa"/>
            <w:vAlign w:val="center"/>
          </w:tcPr>
          <w:p>
            <w:pPr>
              <w:spacing w:before="20" w:after="20"/>
              <w:jc w:val="center"/>
            </w:pPr>
            <w:r>
              <w:rPr>
                <w:color w:val="000000"/>
                <w:sz w:val="19"/>
              </w:rPr>
              <w:t>95% CI 0.491 – 0.775</w:t>
            </w:r>
          </w:p>
        </w:tc>
      </w:tr>
      <w:tr>
        <w:trPr>
          <w:cantSplit/>
        </w:trPr>
        <w:tc>
          <w:tcPr>
            <w:tcW w:w="907" w:type="dxa"/>
            <w:vAlign w:val="center"/>
          </w:tcPr>
          <w:p>
            <w:pPr>
              <w:spacing w:before="20" w:after="20"/>
              <w:jc w:val="center"/>
            </w:pPr>
            <w:r>
              <w:rPr>
                <w:color w:val="000000"/>
                <w:sz w:val="19"/>
              </w:rPr>
              <w:t>D2</w:t>
            </w:r>
          </w:p>
        </w:tc>
        <w:tc>
          <w:tcPr>
            <w:tcW w:w="4025" w:type="dxa"/>
            <w:vAlign w:val="center"/>
          </w:tcPr>
          <w:p>
            <w:pPr>
              <w:spacing w:before="20" w:after="20"/>
              <w:jc w:val="left"/>
            </w:pPr>
            <w:r>
              <w:rPr>
                <w:color w:val="000000"/>
                <w:sz w:val="19"/>
              </w:rPr>
              <w:t>Logistic regression: daily features</w:t>
            </w:r>
          </w:p>
        </w:tc>
        <w:tc>
          <w:tcPr>
            <w:tcW w:w="567" w:type="dxa"/>
            <w:vAlign w:val="center"/>
          </w:tcPr>
          <w:p>
            <w:pPr>
              <w:spacing w:before="20" w:after="20"/>
              <w:jc w:val="center"/>
            </w:pPr>
            <w:r>
              <w:rPr>
                <w:color w:val="000000"/>
                <w:sz w:val="19"/>
              </w:rPr>
              <w:t>71</w:t>
            </w:r>
          </w:p>
        </w:tc>
        <w:tc>
          <w:tcPr>
            <w:tcW w:w="793" w:type="dxa"/>
            <w:vAlign w:val="center"/>
          </w:tcPr>
          <w:p>
            <w:pPr>
              <w:spacing w:before="20" w:after="20"/>
              <w:jc w:val="center"/>
            </w:pPr>
            <w:r>
              <w:rPr>
                <w:color w:val="000000"/>
                <w:sz w:val="19"/>
              </w:rPr>
              <w:t>0.519</w:t>
            </w:r>
          </w:p>
        </w:tc>
        <w:tc>
          <w:tcPr>
            <w:tcW w:w="2268" w:type="dxa"/>
            <w:vAlign w:val="center"/>
          </w:tcPr>
          <w:p>
            <w:pPr>
              <w:spacing w:before="20" w:after="20"/>
              <w:jc w:val="center"/>
            </w:pPr>
            <w:r>
              <w:rPr>
                <w:color w:val="000000"/>
                <w:sz w:val="19"/>
              </w:rPr>
              <w:t>± 0.042</w:t>
            </w:r>
          </w:p>
        </w:tc>
      </w:tr>
      <w:tr>
        <w:trPr>
          <w:cantSplit/>
        </w:trPr>
        <w:tc>
          <w:tcPr>
            <w:tcW w:w="907" w:type="dxa"/>
            <w:vAlign w:val="center"/>
          </w:tcPr>
          <w:p>
            <w:pPr>
              <w:spacing w:before="20" w:after="20"/>
              <w:jc w:val="center"/>
            </w:pPr>
            <w:r>
              <w:rPr>
                <w:color w:val="000000"/>
                <w:sz w:val="19"/>
              </w:rPr>
              <w:t>D3</w:t>
            </w:r>
          </w:p>
        </w:tc>
        <w:tc>
          <w:tcPr>
            <w:tcW w:w="4025" w:type="dxa"/>
            <w:vAlign w:val="center"/>
          </w:tcPr>
          <w:p>
            <w:pPr>
              <w:spacing w:before="20" w:after="20"/>
              <w:jc w:val="left"/>
            </w:pPr>
            <w:r>
              <w:rPr>
                <w:color w:val="000000"/>
                <w:sz w:val="19"/>
              </w:rPr>
              <w:t>Logistic regression: lab + daily (k = 6)</w:t>
            </w:r>
          </w:p>
        </w:tc>
        <w:tc>
          <w:tcPr>
            <w:tcW w:w="567" w:type="dxa"/>
            <w:vAlign w:val="center"/>
          </w:tcPr>
          <w:p>
            <w:pPr>
              <w:spacing w:before="20" w:after="20"/>
              <w:jc w:val="center"/>
            </w:pPr>
            <w:r>
              <w:rPr>
                <w:color w:val="000000"/>
                <w:sz w:val="19"/>
              </w:rPr>
              <w:t>64</w:t>
            </w:r>
          </w:p>
        </w:tc>
        <w:tc>
          <w:tcPr>
            <w:tcW w:w="793" w:type="dxa"/>
            <w:vAlign w:val="center"/>
          </w:tcPr>
          <w:p>
            <w:pPr>
              <w:spacing w:before="20" w:after="20"/>
              <w:jc w:val="center"/>
            </w:pPr>
            <w:r>
              <w:rPr>
                <w:color w:val="000000"/>
                <w:sz w:val="19"/>
              </w:rPr>
              <w:t>0.650</w:t>
            </w:r>
          </w:p>
        </w:tc>
        <w:tc>
          <w:tcPr>
            <w:tcW w:w="2268" w:type="dxa"/>
            <w:vAlign w:val="center"/>
          </w:tcPr>
          <w:p>
            <w:pPr>
              <w:spacing w:before="20" w:after="20"/>
              <w:jc w:val="center"/>
            </w:pPr>
            <w:r>
              <w:rPr>
                <w:color w:val="000000"/>
                <w:sz w:val="19"/>
              </w:rPr>
              <w:t>± 0.028</w:t>
            </w:r>
          </w:p>
        </w:tc>
      </w:tr>
    </w:tbl>
    <w:p>
      <w:pPr>
        <w:spacing w:before="0" w:after="120"/>
      </w:pPr>
    </w:p>
    <w:p>
      <w:pPr>
        <w:keepNext/>
        <w:spacing w:before="160" w:after="60"/>
        <w:jc w:val="center"/>
      </w:pPr>
      <w:r>
        <w:drawing>
          <wp:inline xmlns:a="http://schemas.openxmlformats.org/drawingml/2006/main" xmlns:pic="http://schemas.openxmlformats.org/drawingml/2006/picture">
            <wp:extent cx="4680000" cy="2561684"/>
            <wp:docPr id="854119983" name="Picture 854119983"/>
            <wp:cNvGraphicFramePr>
              <a:graphicFrameLocks noChangeAspect="1"/>
            </wp:cNvGraphicFramePr>
            <a:graphic>
              <a:graphicData uri="http://schemas.openxmlformats.org/drawingml/2006/picture">
                <pic:pic>
                  <pic:nvPicPr>
                    <pic:cNvPr id="0" name="ltmm_daily_models.png"/>
                    <pic:cNvPicPr/>
                  </pic:nvPicPr>
                  <pic:blipFill>
                    <a:blip r:embed="rId32"/>
                    <a:stretch>
                      <a:fillRect/>
                    </a:stretch>
                  </pic:blipFill>
                  <pic:spPr>
                    <a:xfrm>
                      <a:off x="0" y="0"/>
                      <a:ext cx="4680000" cy="2561684"/>
                    </a:xfrm>
                    <a:prstGeom prst="rect"/>
                  </pic:spPr>
                </pic:pic>
              </a:graphicData>
            </a:graphic>
          </wp:inline>
        </w:drawing>
      </w:r>
    </w:p>
    <w:p>
      <w:pPr>
        <w:keepLines/>
        <w:spacing w:before="60" w:after="240"/>
        <w:jc w:val="center"/>
      </w:pPr>
      <w:r>
        <w:rPr>
          <w:i/>
          <w:color w:val="000000"/>
          <w:sz w:val="22"/>
        </w:rPr>
        <w:t>Figure 4.10: Experiment 3: lab and daily-life gait models</w:t>
      </w:r>
    </w:p>
    <w:p>
      <w:pPr>
        <w:keepNext/>
        <w:spacing w:before="320" w:after="120"/>
      </w:pPr>
      <w:r>
        <w:rPr>
          <w:b/>
          <w:color w:val="000000"/>
          <w:sz w:val="28"/>
        </w:rPr>
        <w:t>4.9 Agent Evaluation</w:t>
      </w:r>
    </w:p>
    <w:p>
      <w:pPr>
        <w:spacing w:after="160" w:line="360" w:lineRule="auto"/>
        <w:ind w:firstLine="0"/>
        <w:jc w:val="both"/>
      </w:pPr>
      <w:r>
        <w:rPr>
          <w:color w:val="000000"/>
        </w:rPr>
        <w:t>Table 4.9 compares the four agent versions on the 11 scenarios (one run each). The proposed agent D detected all three emergencies, the baseline agent C detected two, and the plain LLM (A) and plain RAG (B) detected none. The scenario that separated D from C was scenario 7, “I’m fine, just a bit shaken”, sent by a user with an uncancelled ring fall event: only the biometric signal caught it, as the text alone was calm. No version raised a false alarm, including on the keyword trap “I fell asleep on the couch last night”.</w:t>
      </w:r>
    </w:p>
    <w:p>
      <w:pPr>
        <w:keepNext/>
        <w:spacing w:before="200" w:after="80"/>
        <w:jc w:val="center"/>
      </w:pPr>
      <w:r>
        <w:rPr>
          <w:i/>
          <w:color w:val="000000"/>
          <w:sz w:val="22"/>
        </w:rPr>
        <w:t>Table 4.9: Agent versions A–D on the 11 fall scenarios</w:t>
      </w:r>
    </w:p>
    <w:tbl>
      <w:tblPr>
        <w:tblStyle w:val="TableGrid"/>
        <w:tblW w:w="8731" w:type="dxa"/>
        <w:jc w:val="center"/>
        <w:tblLayout w:type="fixed"/>
        <w:tblLook w:firstColumn="1" w:firstRow="1" w:lastColumn="0" w:lastRow="0" w:noHBand="0" w:noVBand="1" w:val="04A0"/>
      </w:tblPr>
      <w:tblGrid>
        <w:gridCol w:w="1927"/>
        <w:gridCol w:w="1644"/>
        <w:gridCol w:w="1077"/>
        <w:gridCol w:w="1247"/>
        <w:gridCol w:w="1474"/>
        <w:gridCol w:w="1360"/>
      </w:tblGrid>
      <w:tr>
        <w:trPr>
          <w:cantSplit/>
          <w:tblHeader/>
        </w:trPr>
        <w:tc>
          <w:tcPr>
            <w:tcW w:w="1927" w:type="dxa"/>
            <w:shd w:val="clear" w:color="auto" w:fill="E7E6E6"/>
            <w:vAlign w:val="center"/>
          </w:tcPr>
          <w:p>
            <w:pPr>
              <w:spacing w:before="20" w:after="20"/>
              <w:jc w:val="center"/>
            </w:pPr>
            <w:r>
              <w:rPr>
                <w:b/>
                <w:color w:val="000000"/>
                <w:sz w:val="19"/>
              </w:rPr>
              <w:t>Version</w:t>
            </w:r>
          </w:p>
        </w:tc>
        <w:tc>
          <w:tcPr>
            <w:tcW w:w="1644" w:type="dxa"/>
            <w:shd w:val="clear" w:color="auto" w:fill="E7E6E6"/>
            <w:vAlign w:val="center"/>
          </w:tcPr>
          <w:p>
            <w:pPr>
              <w:spacing w:before="20" w:after="20"/>
              <w:jc w:val="center"/>
            </w:pPr>
            <w:r>
              <w:rPr>
                <w:b/>
                <w:color w:val="000000"/>
                <w:sz w:val="19"/>
              </w:rPr>
              <w:t>Emergencies caught</w:t>
            </w:r>
          </w:p>
        </w:tc>
        <w:tc>
          <w:tcPr>
            <w:tcW w:w="1077" w:type="dxa"/>
            <w:shd w:val="clear" w:color="auto" w:fill="E7E6E6"/>
            <w:vAlign w:val="center"/>
          </w:tcPr>
          <w:p>
            <w:pPr>
              <w:spacing w:before="20" w:after="20"/>
              <w:jc w:val="center"/>
            </w:pPr>
            <w:r>
              <w:rPr>
                <w:b/>
                <w:color w:val="000000"/>
                <w:sz w:val="19"/>
              </w:rPr>
              <w:t>False alarms</w:t>
            </w:r>
          </w:p>
        </w:tc>
        <w:tc>
          <w:tcPr>
            <w:tcW w:w="1247" w:type="dxa"/>
            <w:shd w:val="clear" w:color="auto" w:fill="E7E6E6"/>
            <w:vAlign w:val="center"/>
          </w:tcPr>
          <w:p>
            <w:pPr>
              <w:spacing w:before="20" w:after="20"/>
              <w:jc w:val="center"/>
            </w:pPr>
            <w:r>
              <w:rPr>
                <w:b/>
                <w:color w:val="000000"/>
                <w:sz w:val="19"/>
              </w:rPr>
              <w:t>Strict grounding</w:t>
            </w:r>
          </w:p>
        </w:tc>
        <w:tc>
          <w:tcPr>
            <w:tcW w:w="1474" w:type="dxa"/>
            <w:shd w:val="clear" w:color="auto" w:fill="E7E6E6"/>
            <w:vAlign w:val="center"/>
          </w:tcPr>
          <w:p>
            <w:pPr>
              <w:spacing w:before="20" w:after="20"/>
              <w:jc w:val="center"/>
            </w:pPr>
            <w:r>
              <w:rPr>
                <w:b/>
                <w:color w:val="000000"/>
                <w:sz w:val="19"/>
              </w:rPr>
              <w:t>Stale data disclosed</w:t>
            </w:r>
          </w:p>
        </w:tc>
        <w:tc>
          <w:tcPr>
            <w:tcW w:w="1360" w:type="dxa"/>
            <w:shd w:val="clear" w:color="auto" w:fill="E7E6E6"/>
            <w:vAlign w:val="center"/>
          </w:tcPr>
          <w:p>
            <w:pPr>
              <w:spacing w:before="20" w:after="20"/>
              <w:jc w:val="center"/>
            </w:pPr>
            <w:r>
              <w:rPr>
                <w:b/>
                <w:color w:val="000000"/>
                <w:sz w:val="19"/>
              </w:rPr>
              <w:t>Mean latency (s)</w:t>
            </w:r>
          </w:p>
        </w:tc>
      </w:tr>
      <w:tr>
        <w:trPr>
          <w:cantSplit/>
        </w:trPr>
        <w:tc>
          <w:tcPr>
            <w:tcW w:w="1927" w:type="dxa"/>
            <w:vAlign w:val="center"/>
          </w:tcPr>
          <w:p>
            <w:pPr>
              <w:spacing w:before="20" w:after="20"/>
              <w:jc w:val="left"/>
            </w:pPr>
            <w:r>
              <w:rPr>
                <w:color w:val="000000"/>
                <w:sz w:val="19"/>
              </w:rPr>
              <w:t>A – Plain LLM</w:t>
            </w:r>
          </w:p>
        </w:tc>
        <w:tc>
          <w:tcPr>
            <w:tcW w:w="1644" w:type="dxa"/>
            <w:vAlign w:val="center"/>
          </w:tcPr>
          <w:p>
            <w:pPr>
              <w:spacing w:before="20" w:after="20"/>
              <w:jc w:val="center"/>
            </w:pPr>
            <w:r>
              <w:rPr>
                <w:color w:val="000000"/>
                <w:sz w:val="19"/>
              </w:rPr>
              <w:t>0/3</w:t>
            </w:r>
          </w:p>
        </w:tc>
        <w:tc>
          <w:tcPr>
            <w:tcW w:w="1077" w:type="dxa"/>
            <w:vAlign w:val="center"/>
          </w:tcPr>
          <w:p>
            <w:pPr>
              <w:spacing w:before="20" w:after="20"/>
              <w:jc w:val="center"/>
            </w:pPr>
            <w:r>
              <w:rPr>
                <w:color w:val="000000"/>
                <w:sz w:val="19"/>
              </w:rPr>
              <w:t>0/8</w:t>
            </w:r>
          </w:p>
        </w:tc>
        <w:tc>
          <w:tcPr>
            <w:tcW w:w="1247" w:type="dxa"/>
            <w:vAlign w:val="center"/>
          </w:tcPr>
          <w:p>
            <w:pPr>
              <w:spacing w:before="20" w:after="20"/>
              <w:jc w:val="center"/>
            </w:pPr>
            <w:r>
              <w:rPr>
                <w:color w:val="000000"/>
                <w:sz w:val="19"/>
              </w:rPr>
              <w:t>0.723</w:t>
            </w:r>
          </w:p>
        </w:tc>
        <w:tc>
          <w:tcPr>
            <w:tcW w:w="1474" w:type="dxa"/>
            <w:vAlign w:val="center"/>
          </w:tcPr>
          <w:p>
            <w:pPr>
              <w:spacing w:before="20" w:after="20"/>
              <w:jc w:val="center"/>
            </w:pPr>
            <w:r>
              <w:rPr>
                <w:color w:val="000000"/>
                <w:sz w:val="19"/>
              </w:rPr>
              <w:t>0/1</w:t>
            </w:r>
          </w:p>
        </w:tc>
        <w:tc>
          <w:tcPr>
            <w:tcW w:w="1360" w:type="dxa"/>
            <w:vAlign w:val="center"/>
          </w:tcPr>
          <w:p>
            <w:pPr>
              <w:spacing w:before="20" w:after="20"/>
              <w:jc w:val="center"/>
            </w:pPr>
            <w:r>
              <w:rPr>
                <w:color w:val="000000"/>
                <w:sz w:val="19"/>
              </w:rPr>
              <w:t>2.90</w:t>
            </w:r>
          </w:p>
        </w:tc>
      </w:tr>
      <w:tr>
        <w:trPr>
          <w:cantSplit/>
        </w:trPr>
        <w:tc>
          <w:tcPr>
            <w:tcW w:w="1927" w:type="dxa"/>
            <w:vAlign w:val="center"/>
          </w:tcPr>
          <w:p>
            <w:pPr>
              <w:spacing w:before="20" w:after="20"/>
              <w:jc w:val="left"/>
            </w:pPr>
            <w:r>
              <w:rPr>
                <w:color w:val="000000"/>
                <w:sz w:val="19"/>
              </w:rPr>
              <w:t>B – Plain RAG</w:t>
            </w:r>
          </w:p>
        </w:tc>
        <w:tc>
          <w:tcPr>
            <w:tcW w:w="1644" w:type="dxa"/>
            <w:vAlign w:val="center"/>
          </w:tcPr>
          <w:p>
            <w:pPr>
              <w:spacing w:before="20" w:after="20"/>
              <w:jc w:val="center"/>
            </w:pPr>
            <w:r>
              <w:rPr>
                <w:color w:val="000000"/>
                <w:sz w:val="19"/>
              </w:rPr>
              <w:t>0/3</w:t>
            </w:r>
          </w:p>
        </w:tc>
        <w:tc>
          <w:tcPr>
            <w:tcW w:w="1077" w:type="dxa"/>
            <w:vAlign w:val="center"/>
          </w:tcPr>
          <w:p>
            <w:pPr>
              <w:spacing w:before="20" w:after="20"/>
              <w:jc w:val="center"/>
            </w:pPr>
            <w:r>
              <w:rPr>
                <w:color w:val="000000"/>
                <w:sz w:val="19"/>
              </w:rPr>
              <w:t>0/8</w:t>
            </w:r>
          </w:p>
        </w:tc>
        <w:tc>
          <w:tcPr>
            <w:tcW w:w="1247" w:type="dxa"/>
            <w:vAlign w:val="center"/>
          </w:tcPr>
          <w:p>
            <w:pPr>
              <w:spacing w:before="20" w:after="20"/>
              <w:jc w:val="center"/>
            </w:pPr>
            <w:r>
              <w:rPr>
                <w:color w:val="000000"/>
                <w:sz w:val="19"/>
              </w:rPr>
              <w:t>0.606</w:t>
            </w:r>
          </w:p>
        </w:tc>
        <w:tc>
          <w:tcPr>
            <w:tcW w:w="1474" w:type="dxa"/>
            <w:vAlign w:val="center"/>
          </w:tcPr>
          <w:p>
            <w:pPr>
              <w:spacing w:before="20" w:after="20"/>
              <w:jc w:val="center"/>
            </w:pPr>
            <w:r>
              <w:rPr>
                <w:color w:val="000000"/>
                <w:sz w:val="19"/>
              </w:rPr>
              <w:t>0/1</w:t>
            </w:r>
          </w:p>
        </w:tc>
        <w:tc>
          <w:tcPr>
            <w:tcW w:w="1360" w:type="dxa"/>
            <w:vAlign w:val="center"/>
          </w:tcPr>
          <w:p>
            <w:pPr>
              <w:spacing w:before="20" w:after="20"/>
              <w:jc w:val="center"/>
            </w:pPr>
            <w:r>
              <w:rPr>
                <w:color w:val="000000"/>
                <w:sz w:val="19"/>
              </w:rPr>
              <w:t>16.82</w:t>
            </w:r>
          </w:p>
        </w:tc>
      </w:tr>
      <w:tr>
        <w:trPr>
          <w:cantSplit/>
        </w:trPr>
        <w:tc>
          <w:tcPr>
            <w:tcW w:w="1927" w:type="dxa"/>
            <w:vAlign w:val="center"/>
          </w:tcPr>
          <w:p>
            <w:pPr>
              <w:spacing w:before="20" w:after="20"/>
              <w:jc w:val="left"/>
            </w:pPr>
            <w:r>
              <w:rPr>
                <w:color w:val="000000"/>
                <w:sz w:val="19"/>
              </w:rPr>
              <w:t>C – Baseline agent</w:t>
            </w:r>
          </w:p>
        </w:tc>
        <w:tc>
          <w:tcPr>
            <w:tcW w:w="1644" w:type="dxa"/>
            <w:vAlign w:val="center"/>
          </w:tcPr>
          <w:p>
            <w:pPr>
              <w:spacing w:before="20" w:after="20"/>
              <w:jc w:val="center"/>
            </w:pPr>
            <w:r>
              <w:rPr>
                <w:color w:val="000000"/>
                <w:sz w:val="19"/>
              </w:rPr>
              <w:t>2/3</w:t>
            </w:r>
          </w:p>
        </w:tc>
        <w:tc>
          <w:tcPr>
            <w:tcW w:w="1077" w:type="dxa"/>
            <w:vAlign w:val="center"/>
          </w:tcPr>
          <w:p>
            <w:pPr>
              <w:spacing w:before="20" w:after="20"/>
              <w:jc w:val="center"/>
            </w:pPr>
            <w:r>
              <w:rPr>
                <w:color w:val="000000"/>
                <w:sz w:val="19"/>
              </w:rPr>
              <w:t>0/8</w:t>
            </w:r>
          </w:p>
        </w:tc>
        <w:tc>
          <w:tcPr>
            <w:tcW w:w="1247" w:type="dxa"/>
            <w:vAlign w:val="center"/>
          </w:tcPr>
          <w:p>
            <w:pPr>
              <w:spacing w:before="20" w:after="20"/>
              <w:jc w:val="center"/>
            </w:pPr>
            <w:r>
              <w:rPr>
                <w:color w:val="000000"/>
                <w:sz w:val="19"/>
              </w:rPr>
              <w:t>0.955</w:t>
            </w:r>
          </w:p>
        </w:tc>
        <w:tc>
          <w:tcPr>
            <w:tcW w:w="1474" w:type="dxa"/>
            <w:vAlign w:val="center"/>
          </w:tcPr>
          <w:p>
            <w:pPr>
              <w:spacing w:before="20" w:after="20"/>
              <w:jc w:val="center"/>
            </w:pPr>
            <w:r>
              <w:rPr>
                <w:color w:val="000000"/>
                <w:sz w:val="19"/>
              </w:rPr>
              <w:t>0/1</w:t>
            </w:r>
          </w:p>
        </w:tc>
        <w:tc>
          <w:tcPr>
            <w:tcW w:w="1360" w:type="dxa"/>
            <w:vAlign w:val="center"/>
          </w:tcPr>
          <w:p>
            <w:pPr>
              <w:spacing w:before="20" w:after="20"/>
              <w:jc w:val="center"/>
            </w:pPr>
            <w:r>
              <w:rPr>
                <w:color w:val="000000"/>
                <w:sz w:val="19"/>
              </w:rPr>
              <w:t>15.98</w:t>
            </w:r>
          </w:p>
        </w:tc>
      </w:tr>
      <w:tr>
        <w:trPr>
          <w:cantSplit/>
        </w:trPr>
        <w:tc>
          <w:tcPr>
            <w:tcW w:w="1927" w:type="dxa"/>
            <w:vAlign w:val="center"/>
          </w:tcPr>
          <w:p>
            <w:pPr>
              <w:spacing w:before="20" w:after="20"/>
              <w:jc w:val="left"/>
            </w:pPr>
            <w:r>
              <w:rPr>
                <w:color w:val="000000"/>
                <w:sz w:val="19"/>
              </w:rPr>
              <w:t>D – Proposed agent</w:t>
            </w:r>
          </w:p>
        </w:tc>
        <w:tc>
          <w:tcPr>
            <w:tcW w:w="1644" w:type="dxa"/>
            <w:vAlign w:val="center"/>
          </w:tcPr>
          <w:p>
            <w:pPr>
              <w:spacing w:before="20" w:after="20"/>
              <w:jc w:val="center"/>
            </w:pPr>
            <w:r>
              <w:rPr>
                <w:color w:val="000000"/>
                <w:sz w:val="19"/>
              </w:rPr>
              <w:t>3/3</w:t>
            </w:r>
          </w:p>
        </w:tc>
        <w:tc>
          <w:tcPr>
            <w:tcW w:w="1077" w:type="dxa"/>
            <w:vAlign w:val="center"/>
          </w:tcPr>
          <w:p>
            <w:pPr>
              <w:spacing w:before="20" w:after="20"/>
              <w:jc w:val="center"/>
            </w:pPr>
            <w:r>
              <w:rPr>
                <w:color w:val="000000"/>
                <w:sz w:val="19"/>
              </w:rPr>
              <w:t>0/8</w:t>
            </w:r>
          </w:p>
        </w:tc>
        <w:tc>
          <w:tcPr>
            <w:tcW w:w="1247" w:type="dxa"/>
            <w:vAlign w:val="center"/>
          </w:tcPr>
          <w:p>
            <w:pPr>
              <w:spacing w:before="20" w:after="20"/>
              <w:jc w:val="center"/>
            </w:pPr>
            <w:r>
              <w:rPr>
                <w:color w:val="000000"/>
                <w:sz w:val="19"/>
              </w:rPr>
              <w:t>0.979</w:t>
            </w:r>
          </w:p>
        </w:tc>
        <w:tc>
          <w:tcPr>
            <w:tcW w:w="1474" w:type="dxa"/>
            <w:vAlign w:val="center"/>
          </w:tcPr>
          <w:p>
            <w:pPr>
              <w:spacing w:before="20" w:after="20"/>
              <w:jc w:val="center"/>
            </w:pPr>
            <w:r>
              <w:rPr>
                <w:color w:val="000000"/>
                <w:sz w:val="19"/>
              </w:rPr>
              <w:t>1/1</w:t>
            </w:r>
          </w:p>
        </w:tc>
        <w:tc>
          <w:tcPr>
            <w:tcW w:w="1360" w:type="dxa"/>
            <w:vAlign w:val="center"/>
          </w:tcPr>
          <w:p>
            <w:pPr>
              <w:spacing w:before="20" w:after="20"/>
              <w:jc w:val="center"/>
            </w:pPr>
            <w:r>
              <w:rPr>
                <w:color w:val="000000"/>
                <w:sz w:val="19"/>
              </w:rPr>
              <w:t>19.61</w:t>
            </w:r>
          </w:p>
        </w:tc>
      </w:tr>
    </w:tbl>
    <w:p>
      <w:pPr>
        <w:spacing w:before="0" w:after="120"/>
      </w:pPr>
    </w:p>
    <w:p>
      <w:pPr>
        <w:spacing w:after="160" w:line="360" w:lineRule="auto"/>
        <w:ind w:firstLine="0"/>
        <w:jc w:val="both"/>
      </w:pPr>
      <w:r>
        <w:rPr>
          <w:color w:val="000000"/>
        </w:rPr>
        <w:t>Strict grounding measures the share of numbers in a reply that appear in the user’s actual data. Versions A and B have no access to the data and invent numbers (0.723 and 0.606). Version D reached 0.979. Its self-verification loop fired on one reply, raising that reply’s grounding from 0.80 to 1.00. Only version D told the user with four-day-old data that the estimate was less reliable (Figure 4.13). Version D fetched on average 0.88 data streams per non-emergency reply, whereas version C always fetches all twelve. Its average latency (19.6 s) was higher than C’s (16.0 s) in this batch run, because it makes extra router, safety and verification calls and the run included API rate-limit retries; on the three emergencies, D replied in 2.6 to 4.4 s because the safety path returns before data is fetched. The safety-widening rule did not fire, because the router’s confidence was between 0.90 and 0.99 on every query; it is covered by unit tests only.</w:t>
      </w:r>
    </w:p>
    <w:p>
      <w:pPr>
        <w:keepNext/>
        <w:spacing w:before="160" w:after="60"/>
        <w:jc w:val="center"/>
      </w:pPr>
      <w:r>
        <w:drawing>
          <wp:inline xmlns:a="http://schemas.openxmlformats.org/drawingml/2006/main" xmlns:pic="http://schemas.openxmlformats.org/drawingml/2006/picture">
            <wp:extent cx="4500000" cy="2600000"/>
            <wp:docPr id="854119984" name="Picture 854119984"/>
            <wp:cNvGraphicFramePr>
              <a:graphicFrameLocks noChangeAspect="1"/>
            </wp:cNvGraphicFramePr>
            <a:graphic>
              <a:graphicData uri="http://schemas.openxmlformats.org/drawingml/2006/picture">
                <pic:pic>
                  <pic:nvPicPr>
                    <pic:cNvPr id="0" name="fall_emergency_detection.png"/>
                    <pic:cNvPicPr/>
                  </pic:nvPicPr>
                  <pic:blipFill>
                    <a:blip r:embed="rId33"/>
                    <a:stretch>
                      <a:fillRect/>
                    </a:stretch>
                  </pic:blipFill>
                  <pic:spPr>
                    <a:xfrm>
                      <a:off x="0" y="0"/>
                      <a:ext cx="4500000" cy="2600000"/>
                    </a:xfrm>
                    <a:prstGeom prst="rect"/>
                  </pic:spPr>
                </pic:pic>
              </a:graphicData>
            </a:graphic>
          </wp:inline>
        </w:drawing>
      </w:r>
    </w:p>
    <w:p>
      <w:pPr>
        <w:keepLines/>
        <w:spacing w:before="60" w:after="240"/>
        <w:jc w:val="center"/>
      </w:pPr>
      <w:r>
        <w:rPr>
          <w:i/>
          <w:color w:val="000000"/>
          <w:sz w:val="22"/>
        </w:rPr>
        <w:t>Figure 4.11: Emergency recall and false-alarm rate of the four versions</w:t>
      </w:r>
    </w:p>
    <w:p>
      <w:pPr>
        <w:keepNext/>
        <w:spacing w:before="160" w:after="60"/>
        <w:jc w:val="center"/>
      </w:pPr>
      <w:r>
        <w:drawing>
          <wp:inline xmlns:a="http://schemas.openxmlformats.org/drawingml/2006/main" xmlns:pic="http://schemas.openxmlformats.org/drawingml/2006/picture">
            <wp:extent cx="4320000" cy="2541176"/>
            <wp:docPr id="854119985" name="Picture 854119985"/>
            <wp:cNvGraphicFramePr>
              <a:graphicFrameLocks noChangeAspect="1"/>
            </wp:cNvGraphicFramePr>
            <a:graphic>
              <a:graphicData uri="http://schemas.openxmlformats.org/drawingml/2006/picture">
                <pic:pic>
                  <pic:nvPicPr>
                    <pic:cNvPr id="0" name="fall_grounding.png"/>
                    <pic:cNvPicPr/>
                  </pic:nvPicPr>
                  <pic:blipFill>
                    <a:blip r:embed="rId34"/>
                    <a:stretch>
                      <a:fillRect/>
                    </a:stretch>
                  </pic:blipFill>
                  <pic:spPr>
                    <a:xfrm>
                      <a:off x="0" y="0"/>
                      <a:ext cx="4320000" cy="2541176"/>
                    </a:xfrm>
                    <a:prstGeom prst="rect"/>
                  </pic:spPr>
                </pic:pic>
              </a:graphicData>
            </a:graphic>
          </wp:inline>
        </w:drawing>
      </w:r>
    </w:p>
    <w:p>
      <w:pPr>
        <w:keepLines/>
        <w:spacing w:before="60" w:after="240"/>
        <w:jc w:val="center"/>
      </w:pPr>
      <w:r>
        <w:rPr>
          <w:i/>
          <w:color w:val="000000"/>
          <w:sz w:val="22"/>
        </w:rPr>
        <w:t>Figure 4.12: Strict numeric grounding on personal fall-risk queries</w:t>
      </w:r>
    </w:p>
    <w:p>
      <w:pPr>
        <w:keepNext/>
        <w:spacing w:before="160" w:after="60"/>
        <w:jc w:val="center"/>
      </w:pPr>
      <w:r>
        <w:drawing>
          <wp:inline xmlns:a="http://schemas.openxmlformats.org/drawingml/2006/main" xmlns:pic="http://schemas.openxmlformats.org/drawingml/2006/picture">
            <wp:extent cx="5040000" cy="3148062"/>
            <wp:docPr id="854119986" name="Picture 854119986"/>
            <wp:cNvGraphicFramePr>
              <a:graphicFrameLocks noChangeAspect="1"/>
            </wp:cNvGraphicFramePr>
            <a:graphic>
              <a:graphicData uri="http://schemas.openxmlformats.org/drawingml/2006/picture">
                <pic:pic>
                  <pic:nvPicPr>
                    <pic:cNvPr id="0" name="ravi_stale.png"/>
                    <pic:cNvPicPr/>
                  </pic:nvPicPr>
                  <pic:blipFill>
                    <a:blip r:embed="rId35"/>
                    <a:stretch>
                      <a:fillRect/>
                    </a:stretch>
                  </pic:blipFill>
                  <pic:spPr>
                    <a:xfrm>
                      <a:off x="0" y="0"/>
                      <a:ext cx="5040000" cy="3148062"/>
                    </a:xfrm>
                    <a:prstGeom prst="rect"/>
                  </pic:spPr>
                </pic:pic>
              </a:graphicData>
            </a:graphic>
          </wp:inline>
        </w:drawing>
      </w:r>
    </w:p>
    <w:p>
      <w:pPr>
        <w:keepLines/>
        <w:spacing w:before="60" w:after="240"/>
        <w:jc w:val="center"/>
      </w:pPr>
      <w:r>
        <w:rPr>
          <w:i/>
          <w:color w:val="000000"/>
          <w:sz w:val="22"/>
        </w:rPr>
        <w:t>Figure 4.13: Demonstration: the stale-data user is told that the estimate is less reliable</w:t>
      </w:r>
    </w:p>
    <w:p>
      <w:pPr>
        <w:keepNext/>
        <w:spacing w:before="320" w:after="120"/>
      </w:pPr>
      <w:r>
        <w:rPr>
          <w:b/>
          <w:color w:val="000000"/>
          <w:sz w:val="28"/>
        </w:rPr>
        <w:t>4.10 Testing and Validation</w:t>
      </w:r>
    </w:p>
    <w:p>
      <w:pPr>
        <w:spacing w:after="160" w:line="360" w:lineRule="auto"/>
        <w:ind w:firstLine="0"/>
        <w:jc w:val="both"/>
      </w:pPr>
      <w:r>
        <w:rPr>
          <w:color w:val="000000"/>
        </w:rPr>
        <w:t>Correctness was checked with automated tests at every level (Table 4.10). The backend tests require no network and run in seconds; the application tests include widget tests that render the screens at a 320 px width with enlarged text to catch layout overflow. A continuous-integration pipeline analyses the code, runs the tests and builds an installable APK on every change.</w:t>
      </w:r>
    </w:p>
    <w:p>
      <w:pPr>
        <w:keepNext/>
        <w:spacing w:before="200" w:after="80"/>
        <w:jc w:val="center"/>
      </w:pPr>
      <w:r>
        <w:rPr>
          <w:i/>
          <w:color w:val="000000"/>
          <w:sz w:val="22"/>
        </w:rPr>
        <w:t>Table 4.10: Automated checks and their outcomes</w:t>
      </w:r>
    </w:p>
    <w:tbl>
      <w:tblPr>
        <w:tblStyle w:val="TableGrid"/>
        <w:tblW w:w="8278" w:type="dxa"/>
        <w:jc w:val="center"/>
        <w:tblLayout w:type="fixed"/>
        <w:tblLook w:firstColumn="1" w:firstRow="1" w:lastColumn="0" w:lastRow="0" w:noHBand="0" w:noVBand="1" w:val="04A0"/>
      </w:tblPr>
      <w:tblGrid>
        <w:gridCol w:w="2041"/>
        <w:gridCol w:w="4762"/>
        <w:gridCol w:w="1474"/>
      </w:tblGrid>
      <w:tr>
        <w:trPr>
          <w:cantSplit/>
          <w:tblHeader/>
        </w:trPr>
        <w:tc>
          <w:tcPr>
            <w:tcW w:w="2041" w:type="dxa"/>
            <w:shd w:val="clear" w:color="auto" w:fill="E7E6E6"/>
            <w:vAlign w:val="center"/>
          </w:tcPr>
          <w:p>
            <w:pPr>
              <w:spacing w:before="20" w:after="20"/>
              <w:jc w:val="center"/>
            </w:pPr>
            <w:r>
              <w:rPr>
                <w:b/>
                <w:color w:val="000000"/>
                <w:sz w:val="19"/>
              </w:rPr>
              <w:t>Check</w:t>
            </w:r>
          </w:p>
        </w:tc>
        <w:tc>
          <w:tcPr>
            <w:tcW w:w="4762" w:type="dxa"/>
            <w:shd w:val="clear" w:color="auto" w:fill="E7E6E6"/>
            <w:vAlign w:val="center"/>
          </w:tcPr>
          <w:p>
            <w:pPr>
              <w:spacing w:before="20" w:after="20"/>
              <w:jc w:val="center"/>
            </w:pPr>
            <w:r>
              <w:rPr>
                <w:b/>
                <w:color w:val="000000"/>
                <w:sz w:val="19"/>
              </w:rPr>
              <w:t>What it verifies</w:t>
            </w:r>
          </w:p>
        </w:tc>
        <w:tc>
          <w:tcPr>
            <w:tcW w:w="1474" w:type="dxa"/>
            <w:shd w:val="clear" w:color="auto" w:fill="E7E6E6"/>
            <w:vAlign w:val="center"/>
          </w:tcPr>
          <w:p>
            <w:pPr>
              <w:spacing w:before="20" w:after="20"/>
              <w:jc w:val="center"/>
            </w:pPr>
            <w:r>
              <w:rPr>
                <w:b/>
                <w:color w:val="000000"/>
                <w:sz w:val="19"/>
              </w:rPr>
              <w:t>Outcome</w:t>
            </w:r>
          </w:p>
        </w:tc>
      </w:tr>
      <w:tr>
        <w:trPr>
          <w:cantSplit/>
        </w:trPr>
        <w:tc>
          <w:tcPr>
            <w:tcW w:w="2041" w:type="dxa"/>
            <w:vAlign w:val="center"/>
          </w:tcPr>
          <w:p>
            <w:pPr>
              <w:spacing w:before="20" w:after="20"/>
              <w:jc w:val="left"/>
            </w:pPr>
            <w:r>
              <w:rPr>
                <w:color w:val="000000"/>
                <w:sz w:val="19"/>
              </w:rPr>
              <w:t>Engine unit tests</w:t>
            </w:r>
          </w:p>
        </w:tc>
        <w:tc>
          <w:tcPr>
            <w:tcW w:w="4762" w:type="dxa"/>
            <w:vAlign w:val="center"/>
          </w:tcPr>
          <w:p>
            <w:pPr>
              <w:spacing w:before="20" w:after="20"/>
              <w:jc w:val="left"/>
            </w:pPr>
            <w:r>
              <w:rPr>
                <w:color w:val="000000"/>
                <w:sz w:val="19"/>
              </w:rPr>
              <w:t>Baselines, strain, cycle phases, coverage, staleness, tiers</w:t>
            </w:r>
          </w:p>
        </w:tc>
        <w:tc>
          <w:tcPr>
            <w:tcW w:w="1474" w:type="dxa"/>
            <w:vAlign w:val="center"/>
          </w:tcPr>
          <w:p>
            <w:pPr>
              <w:spacing w:before="20" w:after="20"/>
              <w:jc w:val="left"/>
            </w:pPr>
            <w:r>
              <w:rPr>
                <w:color w:val="000000"/>
                <w:sz w:val="19"/>
              </w:rPr>
              <w:t>Pass</w:t>
            </w:r>
          </w:p>
        </w:tc>
      </w:tr>
      <w:tr>
        <w:trPr>
          <w:cantSplit/>
        </w:trPr>
        <w:tc>
          <w:tcPr>
            <w:tcW w:w="2041" w:type="dxa"/>
            <w:vAlign w:val="center"/>
          </w:tcPr>
          <w:p>
            <w:pPr>
              <w:spacing w:before="20" w:after="20"/>
              <w:jc w:val="left"/>
            </w:pPr>
            <w:r>
              <w:rPr>
                <w:color w:val="000000"/>
                <w:sz w:val="19"/>
              </w:rPr>
              <w:t>Contribution-sum test</w:t>
            </w:r>
          </w:p>
        </w:tc>
        <w:tc>
          <w:tcPr>
            <w:tcW w:w="4762" w:type="dxa"/>
            <w:vAlign w:val="center"/>
          </w:tcPr>
          <w:p>
            <w:pPr>
              <w:spacing w:before="20" w:after="20"/>
              <w:jc w:val="left"/>
            </w:pPr>
            <w:r>
              <w:rPr>
                <w:color w:val="000000"/>
                <w:sz w:val="19"/>
              </w:rPr>
              <w:t>Points of all features add up to the score</w:t>
            </w:r>
          </w:p>
        </w:tc>
        <w:tc>
          <w:tcPr>
            <w:tcW w:w="1474" w:type="dxa"/>
            <w:vAlign w:val="center"/>
          </w:tcPr>
          <w:p>
            <w:pPr>
              <w:spacing w:before="20" w:after="20"/>
              <w:jc w:val="left"/>
            </w:pPr>
            <w:r>
              <w:rPr>
                <w:color w:val="000000"/>
                <w:sz w:val="19"/>
              </w:rPr>
              <w:t>Pass</w:t>
            </w:r>
          </w:p>
        </w:tc>
      </w:tr>
      <w:tr>
        <w:trPr>
          <w:cantSplit/>
        </w:trPr>
        <w:tc>
          <w:tcPr>
            <w:tcW w:w="2041" w:type="dxa"/>
            <w:vAlign w:val="center"/>
          </w:tcPr>
          <w:p>
            <w:pPr>
              <w:spacing w:before="20" w:after="20"/>
              <w:jc w:val="left"/>
            </w:pPr>
            <w:r>
              <w:rPr>
                <w:color w:val="000000"/>
                <w:sz w:val="19"/>
              </w:rPr>
              <w:t>Safety tests</w:t>
            </w:r>
          </w:p>
        </w:tc>
        <w:tc>
          <w:tcPr>
            <w:tcW w:w="4762" w:type="dxa"/>
            <w:vAlign w:val="center"/>
          </w:tcPr>
          <w:p>
            <w:pPr>
              <w:spacing w:before="20" w:after="20"/>
              <w:jc w:val="left"/>
            </w:pPr>
            <w:r>
              <w:rPr>
                <w:color w:val="000000"/>
                <w:sz w:val="19"/>
              </w:rPr>
              <w:t>Keyword guards (“fell asleep”), LLM override, biometric escalation</w:t>
            </w:r>
          </w:p>
        </w:tc>
        <w:tc>
          <w:tcPr>
            <w:tcW w:w="1474" w:type="dxa"/>
            <w:vAlign w:val="center"/>
          </w:tcPr>
          <w:p>
            <w:pPr>
              <w:spacing w:before="20" w:after="20"/>
              <w:jc w:val="left"/>
            </w:pPr>
            <w:r>
              <w:rPr>
                <w:color w:val="000000"/>
                <w:sz w:val="19"/>
              </w:rPr>
              <w:t>Pass</w:t>
            </w:r>
          </w:p>
        </w:tc>
      </w:tr>
      <w:tr>
        <w:trPr>
          <w:cantSplit/>
        </w:trPr>
        <w:tc>
          <w:tcPr>
            <w:tcW w:w="2041" w:type="dxa"/>
            <w:vAlign w:val="center"/>
          </w:tcPr>
          <w:p>
            <w:pPr>
              <w:spacing w:before="20" w:after="20"/>
              <w:jc w:val="left"/>
            </w:pPr>
            <w:r>
              <w:rPr>
                <w:color w:val="000000"/>
                <w:sz w:val="19"/>
              </w:rPr>
              <w:t>Grounding tests</w:t>
            </w:r>
          </w:p>
        </w:tc>
        <w:tc>
          <w:tcPr>
            <w:tcW w:w="4762" w:type="dxa"/>
            <w:vAlign w:val="center"/>
          </w:tcPr>
          <w:p>
            <w:pPr>
              <w:spacing w:before="20" w:after="20"/>
              <w:jc w:val="left"/>
            </w:pPr>
            <w:r>
              <w:rPr>
                <w:color w:val="000000"/>
                <w:sz w:val="19"/>
              </w:rPr>
              <w:t>Digit-boundary matching and the correction rule</w:t>
            </w:r>
          </w:p>
        </w:tc>
        <w:tc>
          <w:tcPr>
            <w:tcW w:w="1474" w:type="dxa"/>
            <w:vAlign w:val="center"/>
          </w:tcPr>
          <w:p>
            <w:pPr>
              <w:spacing w:before="20" w:after="20"/>
              <w:jc w:val="left"/>
            </w:pPr>
            <w:r>
              <w:rPr>
                <w:color w:val="000000"/>
                <w:sz w:val="19"/>
              </w:rPr>
              <w:t>Pass</w:t>
            </w:r>
          </w:p>
        </w:tc>
      </w:tr>
      <w:tr>
        <w:trPr>
          <w:cantSplit/>
        </w:trPr>
        <w:tc>
          <w:tcPr>
            <w:tcW w:w="2041" w:type="dxa"/>
            <w:vAlign w:val="center"/>
          </w:tcPr>
          <w:p>
            <w:pPr>
              <w:spacing w:before="20" w:after="20"/>
              <w:jc w:val="left"/>
            </w:pPr>
            <w:r>
              <w:rPr>
                <w:color w:val="000000"/>
                <w:sz w:val="19"/>
              </w:rPr>
              <w:t>Routing tests</w:t>
            </w:r>
          </w:p>
        </w:tc>
        <w:tc>
          <w:tcPr>
            <w:tcW w:w="4762" w:type="dxa"/>
            <w:vAlign w:val="center"/>
          </w:tcPr>
          <w:p>
            <w:pPr>
              <w:spacing w:before="20" w:after="20"/>
              <w:jc w:val="left"/>
            </w:pPr>
            <w:r>
              <w:rPr>
                <w:color w:val="000000"/>
                <w:sz w:val="19"/>
              </w:rPr>
              <w:t>Safety widening at low confidence</w:t>
            </w:r>
          </w:p>
        </w:tc>
        <w:tc>
          <w:tcPr>
            <w:tcW w:w="1474" w:type="dxa"/>
            <w:vAlign w:val="center"/>
          </w:tcPr>
          <w:p>
            <w:pPr>
              <w:spacing w:before="20" w:after="20"/>
              <w:jc w:val="left"/>
            </w:pPr>
            <w:r>
              <w:rPr>
                <w:color w:val="000000"/>
                <w:sz w:val="19"/>
              </w:rPr>
              <w:t>Pass</w:t>
            </w:r>
          </w:p>
        </w:tc>
      </w:tr>
      <w:tr>
        <w:trPr>
          <w:cantSplit/>
        </w:trPr>
        <w:tc>
          <w:tcPr>
            <w:tcW w:w="2041" w:type="dxa"/>
            <w:vAlign w:val="center"/>
          </w:tcPr>
          <w:p>
            <w:pPr>
              <w:spacing w:before="20" w:after="20"/>
              <w:jc w:val="left"/>
            </w:pPr>
            <w:r>
              <w:rPr>
                <w:color w:val="000000"/>
                <w:sz w:val="19"/>
              </w:rPr>
              <w:t>Backend total</w:t>
            </w:r>
          </w:p>
        </w:tc>
        <w:tc>
          <w:tcPr>
            <w:tcW w:w="4762" w:type="dxa"/>
            <w:vAlign w:val="center"/>
          </w:tcPr>
          <w:p>
            <w:pPr>
              <w:spacing w:before="20" w:after="20"/>
              <w:jc w:val="left"/>
            </w:pPr>
            <w:r>
              <w:rPr>
                <w:color w:val="000000"/>
                <w:sz w:val="19"/>
              </w:rPr>
              <w:t>123 tests</w:t>
            </w:r>
          </w:p>
        </w:tc>
        <w:tc>
          <w:tcPr>
            <w:tcW w:w="1474" w:type="dxa"/>
            <w:vAlign w:val="center"/>
          </w:tcPr>
          <w:p>
            <w:pPr>
              <w:spacing w:before="20" w:after="20"/>
              <w:jc w:val="left"/>
            </w:pPr>
            <w:r>
              <w:rPr>
                <w:color w:val="000000"/>
                <w:sz w:val="19"/>
              </w:rPr>
              <w:t>All pass</w:t>
            </w:r>
          </w:p>
        </w:tc>
      </w:tr>
      <w:tr>
        <w:trPr>
          <w:cantSplit/>
        </w:trPr>
        <w:tc>
          <w:tcPr>
            <w:tcW w:w="2041" w:type="dxa"/>
            <w:vAlign w:val="center"/>
          </w:tcPr>
          <w:p>
            <w:pPr>
              <w:spacing w:before="20" w:after="20"/>
              <w:jc w:val="left"/>
            </w:pPr>
            <w:r>
              <w:rPr>
                <w:color w:val="000000"/>
                <w:sz w:val="19"/>
              </w:rPr>
              <w:t>Application total</w:t>
            </w:r>
          </w:p>
        </w:tc>
        <w:tc>
          <w:tcPr>
            <w:tcW w:w="4762" w:type="dxa"/>
            <w:vAlign w:val="center"/>
          </w:tcPr>
          <w:p>
            <w:pPr>
              <w:spacing w:before="20" w:after="20"/>
              <w:jc w:val="left"/>
            </w:pPr>
            <w:r>
              <w:rPr>
                <w:color w:val="000000"/>
                <w:sz w:val="19"/>
              </w:rPr>
              <w:t>122 tests, incl. layout tests at 320 px and 1.3× text</w:t>
            </w:r>
          </w:p>
        </w:tc>
        <w:tc>
          <w:tcPr>
            <w:tcW w:w="1474" w:type="dxa"/>
            <w:vAlign w:val="center"/>
          </w:tcPr>
          <w:p>
            <w:pPr>
              <w:spacing w:before="20" w:after="20"/>
              <w:jc w:val="left"/>
            </w:pPr>
            <w:r>
              <w:rPr>
                <w:color w:val="000000"/>
                <w:sz w:val="19"/>
              </w:rPr>
              <w:t>All pass</w:t>
            </w:r>
          </w:p>
        </w:tc>
      </w:tr>
      <w:tr>
        <w:trPr>
          <w:cantSplit/>
        </w:trPr>
        <w:tc>
          <w:tcPr>
            <w:tcW w:w="2041" w:type="dxa"/>
            <w:vAlign w:val="center"/>
          </w:tcPr>
          <w:p>
            <w:pPr>
              <w:spacing w:before="20" w:after="20"/>
              <w:jc w:val="left"/>
            </w:pPr>
            <w:r>
              <w:rPr>
                <w:color w:val="000000"/>
                <w:sz w:val="19"/>
              </w:rPr>
              <w:t>Static analysis</w:t>
            </w:r>
          </w:p>
        </w:tc>
        <w:tc>
          <w:tcPr>
            <w:tcW w:w="4762" w:type="dxa"/>
            <w:vAlign w:val="center"/>
          </w:tcPr>
          <w:p>
            <w:pPr>
              <w:spacing w:before="20" w:after="20"/>
              <w:jc w:val="left"/>
            </w:pPr>
            <w:r>
              <w:rPr>
                <w:color w:val="000000"/>
                <w:sz w:val="19"/>
              </w:rPr>
              <w:t>flutter analyze</w:t>
            </w:r>
          </w:p>
        </w:tc>
        <w:tc>
          <w:tcPr>
            <w:tcW w:w="1474" w:type="dxa"/>
            <w:vAlign w:val="center"/>
          </w:tcPr>
          <w:p>
            <w:pPr>
              <w:spacing w:before="20" w:after="20"/>
              <w:jc w:val="left"/>
            </w:pPr>
            <w:r>
              <w:rPr>
                <w:color w:val="000000"/>
                <w:sz w:val="19"/>
              </w:rPr>
              <w:t>No issues</w:t>
            </w:r>
          </w:p>
        </w:tc>
      </w:tr>
      <w:tr>
        <w:trPr>
          <w:cantSplit/>
        </w:trPr>
        <w:tc>
          <w:tcPr>
            <w:tcW w:w="2041" w:type="dxa"/>
            <w:vAlign w:val="center"/>
          </w:tcPr>
          <w:p>
            <w:pPr>
              <w:spacing w:before="20" w:after="20"/>
              <w:jc w:val="left"/>
            </w:pPr>
            <w:r>
              <w:rPr>
                <w:color w:val="000000"/>
                <w:sz w:val="19"/>
              </w:rPr>
              <w:t>Build</w:t>
            </w:r>
          </w:p>
        </w:tc>
        <w:tc>
          <w:tcPr>
            <w:tcW w:w="4762" w:type="dxa"/>
            <w:vAlign w:val="center"/>
          </w:tcPr>
          <w:p>
            <w:pPr>
              <w:spacing w:before="20" w:after="20"/>
              <w:jc w:val="left"/>
            </w:pPr>
            <w:r>
              <w:rPr>
                <w:color w:val="000000"/>
                <w:sz w:val="19"/>
              </w:rPr>
              <w:t>GitHub Actions APK build</w:t>
            </w:r>
          </w:p>
        </w:tc>
        <w:tc>
          <w:tcPr>
            <w:tcW w:w="1474" w:type="dxa"/>
            <w:vAlign w:val="center"/>
          </w:tcPr>
          <w:p>
            <w:pPr>
              <w:spacing w:before="20" w:after="20"/>
              <w:jc w:val="left"/>
            </w:pPr>
            <w:r>
              <w:rPr>
                <w:color w:val="000000"/>
                <w:sz w:val="19"/>
              </w:rPr>
              <w:t>Success</w:t>
            </w:r>
          </w:p>
        </w:tc>
      </w:tr>
    </w:tbl>
    <w:p>
      <w:pPr>
        <w:spacing w:before="0" w:after="120"/>
      </w:pPr>
    </w:p>
    <w:p>
      <w:pPr>
        <w:keepNext/>
        <w:spacing w:before="320" w:after="120"/>
      </w:pPr>
      <w:r>
        <w:rPr>
          <w:b/>
          <w:color w:val="000000"/>
          <w:sz w:val="28"/>
        </w:rPr>
        <w:t>4.11 Discussion</w:t>
      </w:r>
    </w:p>
    <w:p>
      <w:pPr>
        <w:spacing w:after="160" w:line="360" w:lineRule="auto"/>
        <w:ind w:firstLine="0"/>
        <w:jc w:val="both"/>
      </w:pPr>
      <w:r>
        <w:rPr>
          <w:color w:val="000000"/>
        </w:rPr>
        <w:t>The results support the central idea of the project: that useful fall-risk estimates can be produced without training on fall labels, while keeping every number explainable. On real data, the untrained gait index matched the clinical Timed Up and Go test, and trained models did not improve on it beyond the width of the confidence intervals. This is consistent with the small sample: with 73 subjects, a model with more parameters has more room to overfit than to learn. The deep network of Askhatova et al. [18] reports a higher AUC (0.749) on the same database, but it uses three-day data, demographics and a model that cannot be explained; our index is transparent and needs no training.</w:t>
      </w:r>
    </w:p>
    <w:p>
      <w:pPr>
        <w:spacing w:after="160" w:line="360" w:lineRule="auto"/>
        <w:ind w:firstLine="0"/>
        <w:jc w:val="both"/>
      </w:pPr>
      <w:r>
        <w:rPr>
          <w:color w:val="000000"/>
        </w:rPr>
        <w:t>The engine’s behaviour on the demonstration cohort shows the value of the design choices individually. Personal baselines make the same reading mean different things for different people. Coverage-adaptive weights and the confidence score prevent missing or stale data from being mistaken for good health. The cycle-aware baseline removes false strain on normal luteal days while preserving real deterioration. Additive attribution makes it possible to show, on the score page and in the chat, exactly which measurement contributed how many points.</w:t>
      </w:r>
    </w:p>
    <w:p>
      <w:pPr>
        <w:spacing w:after="160" w:line="360" w:lineRule="auto"/>
        <w:ind w:firstLine="0"/>
        <w:jc w:val="both"/>
      </w:pPr>
      <w:r>
        <w:rPr>
          <w:color w:val="000000"/>
        </w:rPr>
        <w:t>In the agent evaluation the most important result is scenario 7. A text-only assistant, however capable, cannot know that a user who writes “I’m fine” has just fallen; a sensor can. Coupling the ring’s fall event to the conversation turned this case from a miss into a detection. Grounding against the user’s own data reduced invented numbers substantially compared with a plain LLM, at the cost of higher latency on non-emergency questions.</w:t>
      </w:r>
    </w:p>
    <w:p>
      <w:pPr>
        <w:keepNext/>
        <w:spacing w:before="320" w:after="120"/>
      </w:pPr>
      <w:r>
        <w:rPr>
          <w:b/>
          <w:color w:val="000000"/>
          <w:sz w:val="28"/>
        </w:rPr>
        <w:t>4.12 Limitations</w:t>
      </w:r>
    </w:p>
    <w:p>
      <w:pPr>
        <w:pStyle w:val="ListParagraph"/>
        <w:numPr>
          <w:ilvl w:val="0"/>
          <w:numId w:val="104"/>
        </w:numPr>
        <w:spacing w:before="40" w:after="40" w:line="360" w:lineRule="auto"/>
        <w:jc w:val="both"/>
      </w:pPr>
      <w:r>
        <w:rPr>
          <w:b/>
          <w:color w:val="000000"/>
        </w:rPr>
        <w:t>Retrospective labels.</w:t>
      </w:r>
      <w:r>
        <w:rPr>
          <w:color w:val="000000"/>
        </w:rPr>
        <w:t xml:space="preserve"> LTMM fallers are defined by their fall history over the previous year, so the experiments measure discrimination, not prospective prediction.</w:t>
      </w:r>
    </w:p>
    <w:p>
      <w:pPr>
        <w:pStyle w:val="ListParagraph"/>
        <w:numPr>
          <w:ilvl w:val="0"/>
          <w:numId w:val="104"/>
        </w:numPr>
        <w:spacing w:before="40" w:after="40" w:line="360" w:lineRule="auto"/>
        <w:jc w:val="both"/>
      </w:pPr>
      <w:r>
        <w:rPr>
          <w:b/>
          <w:color w:val="000000"/>
        </w:rPr>
        <w:t>Sensor placement.</w:t>
      </w:r>
      <w:r>
        <w:rPr>
          <w:color w:val="000000"/>
        </w:rPr>
        <w:t xml:space="preserve"> LTMM uses a lower-back IMU. The results validate the signal-processing method, not a finger-worn ring, whose motion signal is dominated by hand movement; the live Motion layer currently uses daily steps and near-fall events rather than gait features.</w:t>
      </w:r>
    </w:p>
    <w:p>
      <w:pPr>
        <w:pStyle w:val="ListParagraph"/>
        <w:numPr>
          <w:ilvl w:val="0"/>
          <w:numId w:val="104"/>
        </w:numPr>
        <w:spacing w:before="40" w:after="40" w:line="360" w:lineRule="auto"/>
        <w:jc w:val="both"/>
      </w:pPr>
      <w:r>
        <w:rPr>
          <w:b/>
          <w:color w:val="000000"/>
        </w:rPr>
        <w:t>Small samples.</w:t>
      </w:r>
      <w:r>
        <w:rPr>
          <w:color w:val="000000"/>
        </w:rPr>
        <w:t xml:space="preserve"> With n = 73, confidence intervals are wide and differences of a few hundredths in AUC are within noise. The agent evaluation used 11 scenarios with one run each.</w:t>
      </w:r>
    </w:p>
    <w:p>
      <w:pPr>
        <w:pStyle w:val="ListParagraph"/>
        <w:numPr>
          <w:ilvl w:val="0"/>
          <w:numId w:val="104"/>
        </w:numPr>
        <w:spacing w:before="40" w:after="40" w:line="360" w:lineRule="auto"/>
        <w:jc w:val="both"/>
      </w:pPr>
      <w:r>
        <w:rPr>
          <w:b/>
          <w:color w:val="000000"/>
        </w:rPr>
        <w:t>Synthetic cohort.</w:t>
      </w:r>
      <w:r>
        <w:rPr>
          <w:color w:val="000000"/>
        </w:rPr>
        <w:t xml:space="preserve"> The engine and the agent were evaluated on five generated users; this shows that the engine behaves as designed but is not evidence of clinical validity.</w:t>
      </w:r>
    </w:p>
    <w:p>
      <w:pPr>
        <w:pStyle w:val="ListParagraph"/>
        <w:numPr>
          <w:ilvl w:val="0"/>
          <w:numId w:val="104"/>
        </w:numPr>
        <w:spacing w:before="40" w:after="40" w:line="360" w:lineRule="auto"/>
        <w:jc w:val="both"/>
      </w:pPr>
      <w:r>
        <w:rPr>
          <w:b/>
          <w:color w:val="000000"/>
        </w:rPr>
        <w:t>Approximate evidence weights.</w:t>
      </w:r>
      <w:r>
        <w:rPr>
          <w:color w:val="000000"/>
        </w:rPr>
        <w:t xml:space="preserve"> The four effect sizes come from different studies, mix odds ratios and a risk ratio, are not mutually adjusted, and were mostly measured in older adults. The physiology layer uses orthostatic hypotension as a proxy although the ring does not measure blood pressure on standing. Several thresholds (dead zone 0.5, full strain at 3.0, tiers 40 and 70) are design choices.</w:t>
      </w:r>
    </w:p>
    <w:p>
      <w:pPr>
        <w:pStyle w:val="ListParagraph"/>
        <w:numPr>
          <w:ilvl w:val="0"/>
          <w:numId w:val="104"/>
        </w:numPr>
        <w:spacing w:before="40" w:after="40" w:line="360" w:lineRule="auto"/>
        <w:jc w:val="both"/>
      </w:pPr>
      <w:r>
        <w:rPr>
          <w:b/>
          <w:color w:val="000000"/>
        </w:rPr>
        <w:t>Fall events.</w:t>
      </w:r>
      <w:r>
        <w:rPr>
          <w:color w:val="000000"/>
        </w:rPr>
        <w:t xml:space="preserve"> Phone-detected falls are stored on the device; in the evaluation, the backend’s biometric signal used fall events seeded into Supabase.</w:t>
      </w:r>
    </w:p>
    <w:p>
      <w:pPr>
        <w:pStyle w:val="ListParagraph"/>
        <w:numPr>
          <w:ilvl w:val="0"/>
          <w:numId w:val="104"/>
        </w:numPr>
        <w:spacing w:before="40" w:after="40" w:line="360" w:lineRule="auto"/>
        <w:jc w:val="both"/>
      </w:pPr>
      <w:r>
        <w:rPr>
          <w:b/>
          <w:color w:val="000000"/>
        </w:rPr>
        <w:t>Security.</w:t>
      </w:r>
      <w:r>
        <w:rPr>
          <w:color w:val="000000"/>
        </w:rPr>
        <w:t xml:space="preserve"> The backend trusts the user identifier sent by the application and accesses Supabase with a service key; verifying the user’s token on every request is required before any real deployment.</w:t>
      </w:r>
    </w:p>
    <w:p>
      <w:pPr>
        <w:keepNext/>
        <w:pageBreakBefore/>
        <w:spacing w:after="80"/>
        <w:jc w:val="center"/>
      </w:pPr>
      <w:r>
        <w:rPr>
          <w:b/>
          <w:color w:val="000000"/>
          <w:sz w:val="32"/>
        </w:rPr>
        <w:t>CHAPTER 5</w:t>
      </w:r>
    </w:p>
    <w:p>
      <w:pPr>
        <w:keepNext/>
        <w:spacing w:before="40" w:after="280"/>
        <w:jc w:val="center"/>
      </w:pPr>
      <w:r>
        <w:rPr>
          <w:b/>
          <w:color w:val="000000"/>
          <w:sz w:val="32"/>
        </w:rPr>
        <w:t>Conclusion and Future Work</w:t>
      </w:r>
    </w:p>
    <w:p>
      <w:pPr>
        <w:keepNext/>
        <w:spacing w:before="320" w:after="120"/>
      </w:pPr>
      <w:r>
        <w:rPr>
          <w:b/>
          <w:color w:val="000000"/>
          <w:sz w:val="28"/>
        </w:rPr>
        <w:t>5.1 Summary of Work Completed</w:t>
      </w:r>
    </w:p>
    <w:p>
      <w:pPr>
        <w:spacing w:after="160" w:line="360" w:lineRule="auto"/>
        <w:ind w:firstLine="0"/>
        <w:jc w:val="both"/>
      </w:pPr>
      <w:r>
        <w:rPr>
          <w:color w:val="000000"/>
        </w:rPr>
        <w:t>This project built an end-to-end system for explainable, safety-aware fall-risk estimation from smart-ring data. A Flutter and Kotlin application collects vital signs from a Bluetooth ring, stores them locally and in Supabase, detects falls with the phone’s motion sensors, and presents three sections: a vital-sign dashboard, an AI assistant and a Fall Risk page. A deterministic engine computes a daily Fall Risk Score from personal robust baselines, cycle-aware adjustments and evidence-derived layer weights, and decomposes it into the contribution of each measurement. An agent explains the score through a pipeline that routes each question to the data it needs, fuses keyword, LLM and ring fall-event signals to detect emergencies, and verifies every number before replying. A gait-analysis pipeline for the motion component was validated on real data.</w:t>
      </w:r>
    </w:p>
    <w:p>
      <w:pPr>
        <w:keepNext/>
        <w:spacing w:before="320" w:after="120"/>
      </w:pPr>
      <w:r>
        <w:rPr>
          <w:b/>
          <w:color w:val="000000"/>
          <w:sz w:val="28"/>
        </w:rPr>
        <w:t>5.2 Major Findings</w:t>
      </w:r>
    </w:p>
    <w:p>
      <w:pPr>
        <w:pStyle w:val="ListParagraph"/>
        <w:numPr>
          <w:ilvl w:val="0"/>
          <w:numId w:val="2"/>
        </w:numPr>
        <w:spacing w:before="40" w:after="40" w:line="360" w:lineRule="auto"/>
        <w:jc w:val="both"/>
      </w:pPr>
      <w:r>
        <w:rPr>
          <w:color w:val="000000"/>
        </w:rPr>
        <w:t>An untrained, explainable gait index separated fallers from non-fallers with an AUC of 0.686 on real data, comparable to the clinical Timed Up and Go test (0.683); trained models did not improve on it beyond noise.</w:t>
      </w:r>
    </w:p>
    <w:p>
      <w:pPr>
        <w:pStyle w:val="ListParagraph"/>
        <w:numPr>
          <w:ilvl w:val="0"/>
          <w:numId w:val="2"/>
        </w:numPr>
        <w:spacing w:before="40" w:after="40" w:line="360" w:lineRule="auto"/>
        <w:jc w:val="both"/>
      </w:pPr>
      <w:r>
        <w:rPr>
          <w:color w:val="000000"/>
        </w:rPr>
        <w:t>Cadence was the most consistent single marker of fall history, in the laboratory (AUC 0.770) and in daily life (0.659).</w:t>
      </w:r>
    </w:p>
    <w:p>
      <w:pPr>
        <w:pStyle w:val="ListParagraph"/>
        <w:numPr>
          <w:ilvl w:val="0"/>
          <w:numId w:val="2"/>
        </w:numPr>
        <w:spacing w:before="40" w:after="40" w:line="360" w:lineRule="auto"/>
        <w:jc w:val="both"/>
      </w:pPr>
      <w:r>
        <w:rPr>
          <w:color w:val="000000"/>
        </w:rPr>
        <w:t>Cycle-aware baselines reduced physiology risk on normal luteal days by 43% and removed false flags, without hiding genuine strain.</w:t>
      </w:r>
    </w:p>
    <w:p>
      <w:pPr>
        <w:pStyle w:val="ListParagraph"/>
        <w:numPr>
          <w:ilvl w:val="0"/>
          <w:numId w:val="2"/>
        </w:numPr>
        <w:spacing w:before="40" w:after="40" w:line="360" w:lineRule="auto"/>
        <w:jc w:val="both"/>
      </w:pPr>
      <w:r>
        <w:rPr>
          <w:color w:val="000000"/>
        </w:rPr>
        <w:t>Tri-modal safety fusion detected all three emergencies, including one that only the ring could see, with no false alarms; text-only versions missed it.</w:t>
      </w:r>
    </w:p>
    <w:p>
      <w:pPr>
        <w:pStyle w:val="ListParagraph"/>
        <w:numPr>
          <w:ilvl w:val="0"/>
          <w:numId w:val="2"/>
        </w:numPr>
        <w:spacing w:before="40" w:after="40" w:line="360" w:lineRule="auto"/>
        <w:jc w:val="both"/>
      </w:pPr>
      <w:r>
        <w:rPr>
          <w:color w:val="000000"/>
        </w:rPr>
        <w:t>Closed-loop grounding against the user’s data achieved a strict numeric grounding of 0.979, compared with 0.723 for a plain LLM.</w:t>
      </w:r>
    </w:p>
    <w:p>
      <w:pPr>
        <w:keepNext/>
        <w:spacing w:before="320" w:after="120"/>
      </w:pPr>
      <w:r>
        <w:rPr>
          <w:b/>
          <w:color w:val="000000"/>
          <w:sz w:val="28"/>
        </w:rPr>
        <w:t>5.3 Conclusion</w:t>
      </w:r>
    </w:p>
    <w:p>
      <w:pPr>
        <w:spacing w:after="160" w:line="360" w:lineRule="auto"/>
        <w:ind w:firstLine="0"/>
        <w:jc w:val="both"/>
      </w:pPr>
      <w:r>
        <w:rPr>
          <w:color w:val="000000"/>
        </w:rPr>
        <w:t>The project shows that a fall-risk system does not need to be a black box to be useful. By learning each person’s normal from their own data, weighting deviations with published clinical evidence, and letting the LLM explain rather than compute, the system produces scores that can be traced to individual measurements and checked against the data. By letting the ring’s sensors speak alongside the user’s words, it recognises emergencies that a text-only assistant would miss.</w:t>
      </w:r>
    </w:p>
    <w:p>
      <w:pPr>
        <w:keepNext/>
        <w:spacing w:before="320" w:after="120"/>
      </w:pPr>
      <w:r>
        <w:rPr>
          <w:b/>
          <w:color w:val="000000"/>
          <w:sz w:val="28"/>
        </w:rPr>
        <w:t>5.4 Future Enhancements</w:t>
      </w:r>
    </w:p>
    <w:p>
      <w:pPr>
        <w:pStyle w:val="ListParagraph"/>
        <w:numPr>
          <w:ilvl w:val="0"/>
          <w:numId w:val="105"/>
        </w:numPr>
        <w:spacing w:before="40" w:after="40" w:line="360" w:lineRule="auto"/>
        <w:jc w:val="both"/>
      </w:pPr>
      <w:r>
        <w:rPr>
          <w:color w:val="000000"/>
        </w:rPr>
        <w:t>Port the validated gait pipeline to the phone or ring IMU so that the Motion layer uses real gait features.</w:t>
      </w:r>
    </w:p>
    <w:p>
      <w:pPr>
        <w:pStyle w:val="ListParagraph"/>
        <w:numPr>
          <w:ilvl w:val="0"/>
          <w:numId w:val="105"/>
        </w:numPr>
        <w:spacing w:before="40" w:after="40" w:line="360" w:lineRule="auto"/>
        <w:jc w:val="both"/>
      </w:pPr>
      <w:r>
        <w:rPr>
          <w:color w:val="000000"/>
        </w:rPr>
        <w:t>Upload phone-detected fall events to the backend so that the biometric safety signal works on real falls.</w:t>
      </w:r>
    </w:p>
    <w:p>
      <w:pPr>
        <w:pStyle w:val="ListParagraph"/>
        <w:numPr>
          <w:ilvl w:val="0"/>
          <w:numId w:val="105"/>
        </w:numPr>
        <w:spacing w:before="40" w:after="40" w:line="360" w:lineRule="auto"/>
        <w:jc w:val="both"/>
      </w:pPr>
      <w:r>
        <w:rPr>
          <w:color w:val="000000"/>
        </w:rPr>
        <w:t>Collect labelled data prospectively and fit the layer weights, comparing them with the evidence-derived weights; calibrate the score to an absolute probability of falling.</w:t>
      </w:r>
    </w:p>
    <w:p>
      <w:pPr>
        <w:pStyle w:val="ListParagraph"/>
        <w:numPr>
          <w:ilvl w:val="0"/>
          <w:numId w:val="105"/>
        </w:numPr>
        <w:spacing w:before="40" w:after="40" w:line="360" w:lineRule="auto"/>
        <w:jc w:val="both"/>
      </w:pPr>
      <w:r>
        <w:rPr>
          <w:color w:val="000000"/>
        </w:rPr>
        <w:t>Validate the cycle-aware layer on an open menstrual-cycle wearable dataset.</w:t>
      </w:r>
    </w:p>
    <w:p>
      <w:pPr>
        <w:pStyle w:val="ListParagraph"/>
        <w:numPr>
          <w:ilvl w:val="0"/>
          <w:numId w:val="105"/>
        </w:numPr>
        <w:spacing w:before="40" w:after="40" w:line="360" w:lineRule="auto"/>
        <w:jc w:val="both"/>
      </w:pPr>
      <w:r>
        <w:rPr>
          <w:color w:val="000000"/>
        </w:rPr>
        <w:t>Verify the user’s authentication token on every backend request and query Supabase with row-level security.</w:t>
      </w:r>
    </w:p>
    <w:p>
      <w:pPr>
        <w:pStyle w:val="ListParagraph"/>
        <w:numPr>
          <w:ilvl w:val="0"/>
          <w:numId w:val="105"/>
        </w:numPr>
        <w:spacing w:before="40" w:after="40" w:line="360" w:lineRule="auto"/>
        <w:jc w:val="both"/>
      </w:pPr>
      <w:r>
        <w:rPr>
          <w:color w:val="000000"/>
        </w:rPr>
        <w:t>Run repeated agent evaluations with more scenarios and real users, and measure latency on dedicated hardware.</w:t>
      </w:r>
    </w:p>
    <w:p>
      <w:pPr>
        <w:pageBreakBefore/>
        <w:spacing w:before="80" w:after="400"/>
        <w:jc w:val="center"/>
      </w:pPr>
      <w:r>
        <w:rPr>
          <w:b/>
          <w:color w:val="000000"/>
          <w:sz w:val="32"/>
        </w:rPr>
        <w:t>Appendix</w:t>
      </w:r>
    </w:p>
    <w:p>
      <w:pPr>
        <w:keepNext/>
        <w:spacing w:before="200" w:after="80"/>
      </w:pPr>
      <w:r>
        <w:rPr>
          <w:b/>
          <w:color w:val="000000"/>
        </w:rPr>
        <w:t>Appendix 1: Engine Parameters</w:t>
      </w:r>
    </w:p>
    <w:tbl>
      <w:tblPr>
        <w:tblStyle w:val="TableGrid"/>
        <w:tblW w:w="8731" w:type="dxa"/>
        <w:jc w:val="center"/>
        <w:tblLayout w:type="fixed"/>
        <w:tblLook w:firstColumn="1" w:firstRow="1" w:lastColumn="0" w:lastRow="0" w:noHBand="0" w:noVBand="1" w:val="04A0"/>
      </w:tblPr>
      <w:tblGrid>
        <w:gridCol w:w="2268"/>
        <w:gridCol w:w="2835"/>
        <w:gridCol w:w="3628"/>
      </w:tblGrid>
      <w:tr>
        <w:trPr>
          <w:cantSplit/>
          <w:tblHeader/>
        </w:trPr>
        <w:tc>
          <w:tcPr>
            <w:tcW w:w="2268" w:type="dxa"/>
            <w:shd w:val="clear" w:color="auto" w:fill="E7E6E6"/>
            <w:vAlign w:val="center"/>
          </w:tcPr>
          <w:p>
            <w:pPr>
              <w:spacing w:before="20" w:after="20"/>
              <w:jc w:val="center"/>
            </w:pPr>
            <w:r>
              <w:rPr>
                <w:b/>
                <w:color w:val="000000"/>
                <w:sz w:val="18"/>
              </w:rPr>
              <w:t>Parameter</w:t>
            </w:r>
          </w:p>
        </w:tc>
        <w:tc>
          <w:tcPr>
            <w:tcW w:w="2835" w:type="dxa"/>
            <w:shd w:val="clear" w:color="auto" w:fill="E7E6E6"/>
            <w:vAlign w:val="center"/>
          </w:tcPr>
          <w:p>
            <w:pPr>
              <w:spacing w:before="20" w:after="20"/>
              <w:jc w:val="center"/>
            </w:pPr>
            <w:r>
              <w:rPr>
                <w:b/>
                <w:color w:val="000000"/>
                <w:sz w:val="18"/>
              </w:rPr>
              <w:t>Value</w:t>
            </w:r>
          </w:p>
        </w:tc>
        <w:tc>
          <w:tcPr>
            <w:tcW w:w="3628" w:type="dxa"/>
            <w:shd w:val="clear" w:color="auto" w:fill="E7E6E6"/>
            <w:vAlign w:val="center"/>
          </w:tcPr>
          <w:p>
            <w:pPr>
              <w:spacing w:before="20" w:after="20"/>
              <w:jc w:val="center"/>
            </w:pPr>
            <w:r>
              <w:rPr>
                <w:b/>
                <w:color w:val="000000"/>
                <w:sz w:val="18"/>
              </w:rPr>
              <w:t>Meaning</w:t>
            </w:r>
          </w:p>
        </w:tc>
      </w:tr>
      <w:tr>
        <w:trPr>
          <w:cantSplit/>
        </w:trPr>
        <w:tc>
          <w:tcPr>
            <w:tcW w:w="2268" w:type="dxa"/>
            <w:vAlign w:val="center"/>
          </w:tcPr>
          <w:p>
            <w:pPr>
              <w:spacing w:before="20" w:after="20"/>
              <w:jc w:val="left"/>
            </w:pPr>
            <w:r>
              <w:rPr>
                <w:color w:val="000000"/>
                <w:sz w:val="18"/>
              </w:rPr>
              <w:t>BASELINE_DAYS</w:t>
            </w:r>
          </w:p>
        </w:tc>
        <w:tc>
          <w:tcPr>
            <w:tcW w:w="2835" w:type="dxa"/>
            <w:vAlign w:val="center"/>
          </w:tcPr>
          <w:p>
            <w:pPr>
              <w:spacing w:before="20" w:after="20"/>
              <w:jc w:val="left"/>
            </w:pPr>
            <w:r>
              <w:rPr>
                <w:color w:val="000000"/>
                <w:sz w:val="18"/>
              </w:rPr>
              <w:t>28</w:t>
            </w:r>
          </w:p>
        </w:tc>
        <w:tc>
          <w:tcPr>
            <w:tcW w:w="3628" w:type="dxa"/>
            <w:vAlign w:val="center"/>
          </w:tcPr>
          <w:p>
            <w:pPr>
              <w:spacing w:before="20" w:after="20"/>
              <w:jc w:val="left"/>
            </w:pPr>
            <w:r>
              <w:rPr>
                <w:color w:val="000000"/>
                <w:sz w:val="18"/>
              </w:rPr>
              <w:t>Length of the personal baseline window (days)</w:t>
            </w:r>
          </w:p>
        </w:tc>
      </w:tr>
      <w:tr>
        <w:trPr>
          <w:cantSplit/>
        </w:trPr>
        <w:tc>
          <w:tcPr>
            <w:tcW w:w="2268" w:type="dxa"/>
            <w:vAlign w:val="center"/>
          </w:tcPr>
          <w:p>
            <w:pPr>
              <w:spacing w:before="20" w:after="20"/>
              <w:jc w:val="left"/>
            </w:pPr>
            <w:r>
              <w:rPr>
                <w:color w:val="000000"/>
                <w:sz w:val="18"/>
              </w:rPr>
              <w:t>MIN_BASELINE_POINTS</w:t>
            </w:r>
          </w:p>
        </w:tc>
        <w:tc>
          <w:tcPr>
            <w:tcW w:w="2835" w:type="dxa"/>
            <w:vAlign w:val="center"/>
          </w:tcPr>
          <w:p>
            <w:pPr>
              <w:spacing w:before="20" w:after="20"/>
              <w:jc w:val="left"/>
            </w:pPr>
            <w:r>
              <w:rPr>
                <w:color w:val="000000"/>
                <w:sz w:val="18"/>
              </w:rPr>
              <w:t>7</w:t>
            </w:r>
          </w:p>
        </w:tc>
        <w:tc>
          <w:tcPr>
            <w:tcW w:w="3628" w:type="dxa"/>
            <w:vAlign w:val="center"/>
          </w:tcPr>
          <w:p>
            <w:pPr>
              <w:spacing w:before="20" w:after="20"/>
              <w:jc w:val="left"/>
            </w:pPr>
            <w:r>
              <w:rPr>
                <w:color w:val="000000"/>
                <w:sz w:val="18"/>
              </w:rPr>
              <w:t>Minimum number of days needed for a baseline</w:t>
            </w:r>
          </w:p>
        </w:tc>
      </w:tr>
      <w:tr>
        <w:trPr>
          <w:cantSplit/>
        </w:trPr>
        <w:tc>
          <w:tcPr>
            <w:tcW w:w="2268" w:type="dxa"/>
            <w:vAlign w:val="center"/>
          </w:tcPr>
          <w:p>
            <w:pPr>
              <w:spacing w:before="20" w:after="20"/>
              <w:jc w:val="left"/>
            </w:pPr>
            <w:r>
              <w:rPr>
                <w:color w:val="000000"/>
                <w:sz w:val="18"/>
              </w:rPr>
              <w:t>MISSING_AFTER_DAYS</w:t>
            </w:r>
          </w:p>
        </w:tc>
        <w:tc>
          <w:tcPr>
            <w:tcW w:w="2835" w:type="dxa"/>
            <w:vAlign w:val="center"/>
          </w:tcPr>
          <w:p>
            <w:pPr>
              <w:spacing w:before="20" w:after="20"/>
              <w:jc w:val="left"/>
            </w:pPr>
            <w:r>
              <w:rPr>
                <w:color w:val="000000"/>
                <w:sz w:val="18"/>
              </w:rPr>
              <w:t>7</w:t>
            </w:r>
          </w:p>
        </w:tc>
        <w:tc>
          <w:tcPr>
            <w:tcW w:w="3628" w:type="dxa"/>
            <w:vAlign w:val="center"/>
          </w:tcPr>
          <w:p>
            <w:pPr>
              <w:spacing w:before="20" w:after="20"/>
              <w:jc w:val="left"/>
            </w:pPr>
            <w:r>
              <w:rPr>
                <w:color w:val="000000"/>
                <w:sz w:val="18"/>
              </w:rPr>
              <w:t>A value older than this is treated as missing</w:t>
            </w:r>
          </w:p>
        </w:tc>
      </w:tr>
      <w:tr>
        <w:trPr>
          <w:cantSplit/>
        </w:trPr>
        <w:tc>
          <w:tcPr>
            <w:tcW w:w="2268" w:type="dxa"/>
            <w:vAlign w:val="center"/>
          </w:tcPr>
          <w:p>
            <w:pPr>
              <w:spacing w:before="20" w:after="20"/>
              <w:jc w:val="left"/>
            </w:pPr>
            <w:r>
              <w:rPr>
                <w:color w:val="000000"/>
                <w:sz w:val="18"/>
              </w:rPr>
              <w:t>MAD factor</w:t>
            </w:r>
          </w:p>
        </w:tc>
        <w:tc>
          <w:tcPr>
            <w:tcW w:w="2835" w:type="dxa"/>
            <w:vAlign w:val="center"/>
          </w:tcPr>
          <w:p>
            <w:pPr>
              <w:spacing w:before="20" w:after="20"/>
              <w:jc w:val="left"/>
            </w:pPr>
            <w:r>
              <w:rPr>
                <w:color w:val="000000"/>
                <w:sz w:val="18"/>
              </w:rPr>
              <w:t>1.4826</w:t>
            </w:r>
          </w:p>
        </w:tc>
        <w:tc>
          <w:tcPr>
            <w:tcW w:w="3628" w:type="dxa"/>
            <w:vAlign w:val="center"/>
          </w:tcPr>
          <w:p>
            <w:pPr>
              <w:spacing w:before="20" w:after="20"/>
              <w:jc w:val="left"/>
            </w:pPr>
            <w:r>
              <w:rPr>
                <w:color w:val="000000"/>
                <w:sz w:val="18"/>
              </w:rPr>
              <w:t>Makes the MAD consistent with the standard deviation</w:t>
            </w:r>
          </w:p>
        </w:tc>
      </w:tr>
      <w:tr>
        <w:trPr>
          <w:cantSplit/>
        </w:trPr>
        <w:tc>
          <w:tcPr>
            <w:tcW w:w="2268" w:type="dxa"/>
            <w:vAlign w:val="center"/>
          </w:tcPr>
          <w:p>
            <w:pPr>
              <w:spacing w:before="20" w:after="20"/>
              <w:jc w:val="left"/>
            </w:pPr>
            <w:r>
              <w:rPr>
                <w:color w:val="000000"/>
                <w:sz w:val="18"/>
              </w:rPr>
              <w:t>DEAD_ZONE_Z</w:t>
            </w:r>
          </w:p>
        </w:tc>
        <w:tc>
          <w:tcPr>
            <w:tcW w:w="2835" w:type="dxa"/>
            <w:vAlign w:val="center"/>
          </w:tcPr>
          <w:p>
            <w:pPr>
              <w:spacing w:before="20" w:after="20"/>
              <w:jc w:val="left"/>
            </w:pPr>
            <w:r>
              <w:rPr>
                <w:color w:val="000000"/>
                <w:sz w:val="18"/>
              </w:rPr>
              <w:t>0.5</w:t>
            </w:r>
          </w:p>
        </w:tc>
        <w:tc>
          <w:tcPr>
            <w:tcW w:w="3628" w:type="dxa"/>
            <w:vAlign w:val="center"/>
          </w:tcPr>
          <w:p>
            <w:pPr>
              <w:spacing w:before="20" w:after="20"/>
              <w:jc w:val="left"/>
            </w:pPr>
            <w:r>
              <w:rPr>
                <w:color w:val="000000"/>
                <w:sz w:val="18"/>
              </w:rPr>
              <w:t>Deviation below this adds no strain</w:t>
            </w:r>
          </w:p>
        </w:tc>
      </w:tr>
      <w:tr>
        <w:trPr>
          <w:cantSplit/>
        </w:trPr>
        <w:tc>
          <w:tcPr>
            <w:tcW w:w="2268" w:type="dxa"/>
            <w:vAlign w:val="center"/>
          </w:tcPr>
          <w:p>
            <w:pPr>
              <w:spacing w:before="20" w:after="20"/>
              <w:jc w:val="left"/>
            </w:pPr>
            <w:r>
              <w:rPr>
                <w:color w:val="000000"/>
                <w:sz w:val="18"/>
              </w:rPr>
              <w:t>FULL_STRAIN_Z</w:t>
            </w:r>
          </w:p>
        </w:tc>
        <w:tc>
          <w:tcPr>
            <w:tcW w:w="2835" w:type="dxa"/>
            <w:vAlign w:val="center"/>
          </w:tcPr>
          <w:p>
            <w:pPr>
              <w:spacing w:before="20" w:after="20"/>
              <w:jc w:val="left"/>
            </w:pPr>
            <w:r>
              <w:rPr>
                <w:color w:val="000000"/>
                <w:sz w:val="18"/>
              </w:rPr>
              <w:t>3.0</w:t>
            </w:r>
          </w:p>
        </w:tc>
        <w:tc>
          <w:tcPr>
            <w:tcW w:w="3628" w:type="dxa"/>
            <w:vAlign w:val="center"/>
          </w:tcPr>
          <w:p>
            <w:pPr>
              <w:spacing w:before="20" w:after="20"/>
              <w:jc w:val="left"/>
            </w:pPr>
            <w:r>
              <w:rPr>
                <w:color w:val="000000"/>
                <w:sz w:val="18"/>
              </w:rPr>
              <w:t>Deviation at which strain reaches 100</w:t>
            </w:r>
          </w:p>
        </w:tc>
      </w:tr>
      <w:tr>
        <w:trPr>
          <w:cantSplit/>
        </w:trPr>
        <w:tc>
          <w:tcPr>
            <w:tcW w:w="2268" w:type="dxa"/>
            <w:vAlign w:val="center"/>
          </w:tcPr>
          <w:p>
            <w:pPr>
              <w:spacing w:before="20" w:after="20"/>
              <w:jc w:val="left"/>
            </w:pPr>
            <w:r>
              <w:rPr>
                <w:color w:val="000000"/>
                <w:sz w:val="18"/>
              </w:rPr>
              <w:t>SpO₂ floor</w:t>
            </w:r>
          </w:p>
        </w:tc>
        <w:tc>
          <w:tcPr>
            <w:tcW w:w="2835" w:type="dxa"/>
            <w:vAlign w:val="center"/>
          </w:tcPr>
          <w:p>
            <w:pPr>
              <w:spacing w:before="20" w:after="20"/>
              <w:jc w:val="left"/>
            </w:pPr>
            <w:r>
              <w:rPr>
                <w:color w:val="000000"/>
                <w:sz w:val="18"/>
              </w:rPr>
              <w:t>95%</w:t>
            </w:r>
          </w:p>
        </w:tc>
        <w:tc>
          <w:tcPr>
            <w:tcW w:w="3628" w:type="dxa"/>
            <w:vAlign w:val="center"/>
          </w:tcPr>
          <w:p>
            <w:pPr>
              <w:spacing w:before="20" w:after="20"/>
              <w:jc w:val="left"/>
            </w:pPr>
            <w:r>
              <w:rPr>
                <w:color w:val="000000"/>
                <w:sz w:val="18"/>
              </w:rPr>
              <w:t>Absolute threshold below which strain is added</w:t>
            </w:r>
          </w:p>
        </w:tc>
      </w:tr>
      <w:tr>
        <w:trPr>
          <w:cantSplit/>
        </w:trPr>
        <w:tc>
          <w:tcPr>
            <w:tcW w:w="2268" w:type="dxa"/>
            <w:vAlign w:val="center"/>
          </w:tcPr>
          <w:p>
            <w:pPr>
              <w:spacing w:before="20" w:after="20"/>
              <w:jc w:val="left"/>
            </w:pPr>
            <w:r>
              <w:rPr>
                <w:color w:val="000000"/>
                <w:sz w:val="18"/>
              </w:rPr>
              <w:t>MIN_PHASE_POINTS</w:t>
            </w:r>
          </w:p>
        </w:tc>
        <w:tc>
          <w:tcPr>
            <w:tcW w:w="2835" w:type="dxa"/>
            <w:vAlign w:val="center"/>
          </w:tcPr>
          <w:p>
            <w:pPr>
              <w:spacing w:before="20" w:after="20"/>
              <w:jc w:val="left"/>
            </w:pPr>
            <w:r>
              <w:rPr>
                <w:color w:val="000000"/>
                <w:sz w:val="18"/>
              </w:rPr>
              <w:t>5</w:t>
            </w:r>
          </w:p>
        </w:tc>
        <w:tc>
          <w:tcPr>
            <w:tcW w:w="3628" w:type="dxa"/>
            <w:vAlign w:val="center"/>
          </w:tcPr>
          <w:p>
            <w:pPr>
              <w:spacing w:before="20" w:after="20"/>
              <w:jc w:val="left"/>
            </w:pPr>
            <w:r>
              <w:rPr>
                <w:color w:val="000000"/>
                <w:sz w:val="18"/>
              </w:rPr>
              <w:t>Same-phase days needed for a phase-matched baseline</w:t>
            </w:r>
          </w:p>
        </w:tc>
      </w:tr>
      <w:tr>
        <w:trPr>
          <w:cantSplit/>
        </w:trPr>
        <w:tc>
          <w:tcPr>
            <w:tcW w:w="2268" w:type="dxa"/>
            <w:vAlign w:val="center"/>
          </w:tcPr>
          <w:p>
            <w:pPr>
              <w:spacing w:before="20" w:after="20"/>
              <w:jc w:val="left"/>
            </w:pPr>
            <w:r>
              <w:rPr>
                <w:color w:val="000000"/>
                <w:sz w:val="18"/>
              </w:rPr>
              <w:t>Luteal offsets</w:t>
            </w:r>
          </w:p>
        </w:tc>
        <w:tc>
          <w:tcPr>
            <w:tcW w:w="2835" w:type="dxa"/>
            <w:vAlign w:val="center"/>
          </w:tcPr>
          <w:p>
            <w:pPr>
              <w:spacing w:before="20" w:after="20"/>
              <w:jc w:val="left"/>
            </w:pPr>
            <w:r>
              <w:rPr>
                <w:color w:val="000000"/>
                <w:sz w:val="18"/>
              </w:rPr>
              <w:t>+0.3 °C, +2 bpm, −7%</w:t>
            </w:r>
          </w:p>
        </w:tc>
        <w:tc>
          <w:tcPr>
            <w:tcW w:w="3628" w:type="dxa"/>
            <w:vAlign w:val="center"/>
          </w:tcPr>
          <w:p>
            <w:pPr>
              <w:spacing w:before="20" w:after="20"/>
              <w:jc w:val="left"/>
            </w:pPr>
            <w:r>
              <w:rPr>
                <w:color w:val="000000"/>
                <w:sz w:val="18"/>
              </w:rPr>
              <w:t>Temperature, resting HR and HRV fallback offsets</w:t>
            </w:r>
          </w:p>
        </w:tc>
      </w:tr>
      <w:tr>
        <w:trPr>
          <w:cantSplit/>
        </w:trPr>
        <w:tc>
          <w:tcPr>
            <w:tcW w:w="2268" w:type="dxa"/>
            <w:vAlign w:val="center"/>
          </w:tcPr>
          <w:p>
            <w:pPr>
              <w:spacing w:before="20" w:after="20"/>
              <w:jc w:val="left"/>
            </w:pPr>
            <w:r>
              <w:rPr>
                <w:color w:val="000000"/>
                <w:sz w:val="18"/>
              </w:rPr>
              <w:t>Near-fall strain</w:t>
            </w:r>
          </w:p>
        </w:tc>
        <w:tc>
          <w:tcPr>
            <w:tcW w:w="2835" w:type="dxa"/>
            <w:vAlign w:val="center"/>
          </w:tcPr>
          <w:p>
            <w:pPr>
              <w:spacing w:before="20" w:after="20"/>
              <w:jc w:val="left"/>
            </w:pPr>
            <w:r>
              <w:rPr>
                <w:color w:val="000000"/>
                <w:sz w:val="18"/>
              </w:rPr>
              <w:t>50 per event (14 days)</w:t>
            </w:r>
          </w:p>
        </w:tc>
        <w:tc>
          <w:tcPr>
            <w:tcW w:w="3628" w:type="dxa"/>
            <w:vAlign w:val="center"/>
          </w:tcPr>
          <w:p>
            <w:pPr>
              <w:spacing w:before="20" w:after="20"/>
              <w:jc w:val="left"/>
            </w:pPr>
            <w:r>
              <w:rPr>
                <w:color w:val="000000"/>
                <w:sz w:val="18"/>
              </w:rPr>
              <w:t>Motion component from near-falls</w:t>
            </w:r>
          </w:p>
        </w:tc>
      </w:tr>
      <w:tr>
        <w:trPr>
          <w:cantSplit/>
        </w:trPr>
        <w:tc>
          <w:tcPr>
            <w:tcW w:w="2268" w:type="dxa"/>
            <w:vAlign w:val="center"/>
          </w:tcPr>
          <w:p>
            <w:pPr>
              <w:spacing w:before="20" w:after="20"/>
              <w:jc w:val="left"/>
            </w:pPr>
            <w:r>
              <w:rPr>
                <w:color w:val="000000"/>
                <w:sz w:val="18"/>
              </w:rPr>
              <w:t>Fall-history risk</w:t>
            </w:r>
          </w:p>
        </w:tc>
        <w:tc>
          <w:tcPr>
            <w:tcW w:w="2835" w:type="dxa"/>
            <w:vAlign w:val="center"/>
          </w:tcPr>
          <w:p>
            <w:pPr>
              <w:spacing w:before="20" w:after="20"/>
              <w:jc w:val="left"/>
            </w:pPr>
            <w:r>
              <w:rPr>
                <w:color w:val="000000"/>
                <w:sz w:val="18"/>
              </w:rPr>
              <w:t>0 / 60 / 100</w:t>
            </w:r>
          </w:p>
        </w:tc>
        <w:tc>
          <w:tcPr>
            <w:tcW w:w="3628" w:type="dxa"/>
            <w:vAlign w:val="center"/>
          </w:tcPr>
          <w:p>
            <w:pPr>
              <w:spacing w:before="20" w:after="20"/>
              <w:jc w:val="left"/>
            </w:pPr>
            <w:r>
              <w:rPr>
                <w:color w:val="000000"/>
                <w:sz w:val="18"/>
              </w:rPr>
              <w:t>For 0, 1 and ≥ 2 falls in 365 days</w:t>
            </w:r>
          </w:p>
        </w:tc>
      </w:tr>
      <w:tr>
        <w:trPr>
          <w:cantSplit/>
        </w:trPr>
        <w:tc>
          <w:tcPr>
            <w:tcW w:w="2268" w:type="dxa"/>
            <w:vAlign w:val="center"/>
          </w:tcPr>
          <w:p>
            <w:pPr>
              <w:spacing w:before="20" w:after="20"/>
              <w:jc w:val="left"/>
            </w:pPr>
            <w:r>
              <w:rPr>
                <w:color w:val="000000"/>
                <w:sz w:val="18"/>
              </w:rPr>
              <w:t>EVIDENCE_RATIOS</w:t>
            </w:r>
          </w:p>
        </w:tc>
        <w:tc>
          <w:tcPr>
            <w:tcW w:w="2835" w:type="dxa"/>
            <w:vAlign w:val="center"/>
          </w:tcPr>
          <w:p>
            <w:pPr>
              <w:spacing w:before="20" w:after="20"/>
              <w:jc w:val="left"/>
            </w:pPr>
            <w:r>
              <w:rPr>
                <w:color w:val="000000"/>
                <w:sz w:val="18"/>
              </w:rPr>
              <w:t>FH 2.8, MO 2.1, P 1.73, RC 1.27</w:t>
            </w:r>
          </w:p>
        </w:tc>
        <w:tc>
          <w:tcPr>
            <w:tcW w:w="3628" w:type="dxa"/>
            <w:vAlign w:val="center"/>
          </w:tcPr>
          <w:p>
            <w:pPr>
              <w:spacing w:before="20" w:after="20"/>
              <w:jc w:val="left"/>
            </w:pPr>
            <w:r>
              <w:rPr>
                <w:color w:val="000000"/>
                <w:sz w:val="18"/>
              </w:rPr>
              <w:t>Published effect sizes for the layer weights</w:t>
            </w:r>
          </w:p>
        </w:tc>
      </w:tr>
      <w:tr>
        <w:trPr>
          <w:cantSplit/>
        </w:trPr>
        <w:tc>
          <w:tcPr>
            <w:tcW w:w="2268" w:type="dxa"/>
            <w:vAlign w:val="center"/>
          </w:tcPr>
          <w:p>
            <w:pPr>
              <w:spacing w:before="20" w:after="20"/>
              <w:jc w:val="left"/>
            </w:pPr>
            <w:r>
              <w:rPr>
                <w:color w:val="000000"/>
                <w:sz w:val="18"/>
              </w:rPr>
              <w:t>Tiers</w:t>
            </w:r>
          </w:p>
        </w:tc>
        <w:tc>
          <w:tcPr>
            <w:tcW w:w="2835" w:type="dxa"/>
            <w:vAlign w:val="center"/>
          </w:tcPr>
          <w:p>
            <w:pPr>
              <w:spacing w:before="20" w:after="20"/>
              <w:jc w:val="left"/>
            </w:pPr>
            <w:r>
              <w:rPr>
                <w:color w:val="000000"/>
                <w:sz w:val="18"/>
              </w:rPr>
              <w:t>&lt; 40 LOW, &lt; 70 MODERATE, else HIGH</w:t>
            </w:r>
          </w:p>
        </w:tc>
        <w:tc>
          <w:tcPr>
            <w:tcW w:w="3628" w:type="dxa"/>
            <w:vAlign w:val="center"/>
          </w:tcPr>
          <w:p>
            <w:pPr>
              <w:spacing w:before="20" w:after="20"/>
              <w:jc w:val="left"/>
            </w:pPr>
            <w:r>
              <w:rPr>
                <w:color w:val="000000"/>
                <w:sz w:val="18"/>
              </w:rPr>
              <w:t>Mapping of the score to a tier</w:t>
            </w:r>
          </w:p>
        </w:tc>
      </w:tr>
      <w:tr>
        <w:trPr>
          <w:cantSplit/>
        </w:trPr>
        <w:tc>
          <w:tcPr>
            <w:tcW w:w="2268" w:type="dxa"/>
            <w:vAlign w:val="center"/>
          </w:tcPr>
          <w:p>
            <w:pPr>
              <w:spacing w:before="20" w:after="20"/>
              <w:jc w:val="left"/>
            </w:pPr>
            <w:r>
              <w:rPr>
                <w:color w:val="000000"/>
                <w:sz w:val="18"/>
              </w:rPr>
              <w:t>Low confidence</w:t>
            </w:r>
          </w:p>
        </w:tc>
        <w:tc>
          <w:tcPr>
            <w:tcW w:w="2835" w:type="dxa"/>
            <w:vAlign w:val="center"/>
          </w:tcPr>
          <w:p>
            <w:pPr>
              <w:spacing w:before="20" w:after="20"/>
              <w:jc w:val="left"/>
            </w:pPr>
            <w:r>
              <w:rPr>
                <w:color w:val="000000"/>
                <w:sz w:val="18"/>
              </w:rPr>
              <w:t>Q &lt; 60</w:t>
            </w:r>
          </w:p>
        </w:tc>
        <w:tc>
          <w:tcPr>
            <w:tcW w:w="3628" w:type="dxa"/>
            <w:vAlign w:val="center"/>
          </w:tcPr>
          <w:p>
            <w:pPr>
              <w:spacing w:before="20" w:after="20"/>
              <w:jc w:val="left"/>
            </w:pPr>
            <w:r>
              <w:rPr>
                <w:color w:val="000000"/>
                <w:sz w:val="18"/>
              </w:rPr>
              <w:t>Score is marked as low confidence</w:t>
            </w:r>
          </w:p>
        </w:tc>
      </w:tr>
      <w:tr>
        <w:trPr>
          <w:cantSplit/>
        </w:trPr>
        <w:tc>
          <w:tcPr>
            <w:tcW w:w="2268" w:type="dxa"/>
            <w:vAlign w:val="center"/>
          </w:tcPr>
          <w:p>
            <w:pPr>
              <w:spacing w:before="20" w:after="20"/>
              <w:jc w:val="left"/>
            </w:pPr>
            <w:r>
              <w:rPr>
                <w:color w:val="000000"/>
                <w:sz w:val="18"/>
              </w:rPr>
              <w:t>Stale</w:t>
            </w:r>
          </w:p>
        </w:tc>
        <w:tc>
          <w:tcPr>
            <w:tcW w:w="2835" w:type="dxa"/>
            <w:vAlign w:val="center"/>
          </w:tcPr>
          <w:p>
            <w:pPr>
              <w:spacing w:before="20" w:after="20"/>
              <w:jc w:val="left"/>
            </w:pPr>
            <w:r>
              <w:rPr>
                <w:color w:val="000000"/>
                <w:sz w:val="18"/>
              </w:rPr>
              <w:t>data &gt; 2 days old</w:t>
            </w:r>
          </w:p>
        </w:tc>
        <w:tc>
          <w:tcPr>
            <w:tcW w:w="3628" w:type="dxa"/>
            <w:vAlign w:val="center"/>
          </w:tcPr>
          <w:p>
            <w:pPr>
              <w:spacing w:before="20" w:after="20"/>
              <w:jc w:val="left"/>
            </w:pPr>
            <w:r>
              <w:rPr>
                <w:color w:val="000000"/>
                <w:sz w:val="18"/>
              </w:rPr>
              <w:t>Score is marked as stale</w:t>
            </w:r>
          </w:p>
        </w:tc>
      </w:tr>
      <w:tr>
        <w:trPr>
          <w:cantSplit/>
        </w:trPr>
        <w:tc>
          <w:tcPr>
            <w:tcW w:w="2268" w:type="dxa"/>
            <w:vAlign w:val="center"/>
          </w:tcPr>
          <w:p>
            <w:pPr>
              <w:spacing w:before="20" w:after="20"/>
              <w:jc w:val="left"/>
            </w:pPr>
            <w:r>
              <w:rPr>
                <w:color w:val="000000"/>
                <w:sz w:val="18"/>
              </w:rPr>
              <w:t>Router threshold</w:t>
            </w:r>
          </w:p>
        </w:tc>
        <w:tc>
          <w:tcPr>
            <w:tcW w:w="2835" w:type="dxa"/>
            <w:vAlign w:val="center"/>
          </w:tcPr>
          <w:p>
            <w:pPr>
              <w:spacing w:before="20" w:after="20"/>
              <w:jc w:val="left"/>
            </w:pPr>
            <w:r>
              <w:rPr>
                <w:color w:val="000000"/>
                <w:sz w:val="18"/>
              </w:rPr>
              <w:t>0.75</w:t>
            </w:r>
          </w:p>
        </w:tc>
        <w:tc>
          <w:tcPr>
            <w:tcW w:w="3628" w:type="dxa"/>
            <w:vAlign w:val="center"/>
          </w:tcPr>
          <w:p>
            <w:pPr>
              <w:spacing w:before="20" w:after="20"/>
              <w:jc w:val="left"/>
            </w:pPr>
            <w:r>
              <w:rPr>
                <w:color w:val="000000"/>
                <w:sz w:val="18"/>
              </w:rPr>
              <w:t>Below this, safety questions widen the data fetch</w:t>
            </w:r>
          </w:p>
        </w:tc>
      </w:tr>
      <w:tr>
        <w:trPr>
          <w:cantSplit/>
        </w:trPr>
        <w:tc>
          <w:tcPr>
            <w:tcW w:w="2268" w:type="dxa"/>
            <w:vAlign w:val="center"/>
          </w:tcPr>
          <w:p>
            <w:pPr>
              <w:spacing w:before="20" w:after="20"/>
              <w:jc w:val="left"/>
            </w:pPr>
            <w:r>
              <w:rPr>
                <w:color w:val="000000"/>
                <w:sz w:val="18"/>
              </w:rPr>
              <w:t>LLM safety threshold</w:t>
            </w:r>
          </w:p>
        </w:tc>
        <w:tc>
          <w:tcPr>
            <w:tcW w:w="2835" w:type="dxa"/>
            <w:vAlign w:val="center"/>
          </w:tcPr>
          <w:p>
            <w:pPr>
              <w:spacing w:before="20" w:after="20"/>
              <w:jc w:val="left"/>
            </w:pPr>
            <w:r>
              <w:rPr>
                <w:color w:val="000000"/>
                <w:sz w:val="18"/>
              </w:rPr>
              <w:t>0.70 / 0.85</w:t>
            </w:r>
          </w:p>
        </w:tc>
        <w:tc>
          <w:tcPr>
            <w:tcW w:w="3628" w:type="dxa"/>
            <w:vAlign w:val="center"/>
          </w:tcPr>
          <w:p>
            <w:pPr>
              <w:spacing w:before="20" w:after="20"/>
              <w:jc w:val="left"/>
            </w:pPr>
            <w:r>
              <w:rPr>
                <w:color w:val="000000"/>
                <w:sz w:val="18"/>
              </w:rPr>
              <w:t>Trigger / keyword-override confidence</w:t>
            </w:r>
          </w:p>
        </w:tc>
      </w:tr>
      <w:tr>
        <w:trPr>
          <w:cantSplit/>
        </w:trPr>
        <w:tc>
          <w:tcPr>
            <w:tcW w:w="2268" w:type="dxa"/>
            <w:vAlign w:val="center"/>
          </w:tcPr>
          <w:p>
            <w:pPr>
              <w:spacing w:before="20" w:after="20"/>
              <w:jc w:val="left"/>
            </w:pPr>
            <w:r>
              <w:rPr>
                <w:color w:val="000000"/>
                <w:sz w:val="18"/>
              </w:rPr>
              <w:t>Biometric window</w:t>
            </w:r>
          </w:p>
        </w:tc>
        <w:tc>
          <w:tcPr>
            <w:tcW w:w="2835" w:type="dxa"/>
            <w:vAlign w:val="center"/>
          </w:tcPr>
          <w:p>
            <w:pPr>
              <w:spacing w:before="20" w:after="20"/>
              <w:jc w:val="left"/>
            </w:pPr>
            <w:r>
              <w:rPr>
                <w:color w:val="000000"/>
                <w:sz w:val="18"/>
              </w:rPr>
              <w:t>30 min</w:t>
            </w:r>
          </w:p>
        </w:tc>
        <w:tc>
          <w:tcPr>
            <w:tcW w:w="3628" w:type="dxa"/>
            <w:vAlign w:val="center"/>
          </w:tcPr>
          <w:p>
            <w:pPr>
              <w:spacing w:before="20" w:after="20"/>
              <w:jc w:val="left"/>
            </w:pPr>
            <w:r>
              <w:rPr>
                <w:color w:val="000000"/>
                <w:sz w:val="18"/>
              </w:rPr>
              <w:t>Ring fall events that escalate any message</w:t>
            </w:r>
          </w:p>
        </w:tc>
      </w:tr>
    </w:tbl>
    <w:p>
      <w:pPr>
        <w:spacing w:before="0" w:after="120"/>
      </w:pPr>
    </w:p>
    <w:p>
      <w:pPr>
        <w:keepNext/>
        <w:spacing w:before="200" w:after="80"/>
      </w:pPr>
      <w:r>
        <w:rPr>
          <w:b/>
          <w:color w:val="000000"/>
        </w:rPr>
        <w:t>Appendix 2: Key Source Code</w:t>
      </w:r>
    </w:p>
    <w:p>
      <w:pPr>
        <w:spacing w:after="160" w:line="360" w:lineRule="auto"/>
        <w:ind w:firstLine="0"/>
        <w:jc w:val="both"/>
      </w:pPr>
      <w:r>
        <w:rPr>
          <w:color w:val="000000"/>
        </w:rPr>
        <w:t>Robust baseline and dead-zone strain (agent/fall_risk.py):</w:t>
      </w:r>
    </w:p>
    <w:p>
      <w:pPr>
        <w:keepLines/>
        <w:spacing w:before="0" w:after="0"/>
        <w:ind w:left="360"/>
      </w:pPr>
      <w:r>
        <w:rPr>
          <w:rFonts w:ascii="Courier New" w:hAnsi="Courier New" w:eastAsia="Courier New" w:cs="Courier New"/>
          <w:sz w:val="16"/>
        </w:rPr>
        <w:t>EVIDENCE_RATIOS = {"FH": 2.8, "MO": 2.1, "P": 1.73, "RC": 1.27}</w:t>
      </w:r>
    </w:p>
    <w:p>
      <w:pPr>
        <w:keepLines/>
        <w:spacing w:before="0" w:after="0"/>
        <w:ind w:left="360"/>
      </w:pPr>
      <w:r>
        <w:rPr>
          <w:rFonts w:ascii="Courier New" w:hAnsi="Courier New" w:eastAsia="Courier New" w:cs="Courier New"/>
          <w:sz w:val="16"/>
        </w:rPr>
        <w:t>_LN = {k: math.log(v) for k, v in EVIDENCE_RATIOS.items()}</w:t>
      </w:r>
    </w:p>
    <w:p>
      <w:pPr>
        <w:keepLines/>
        <w:spacing w:before="0" w:after="0"/>
        <w:ind w:left="360"/>
      </w:pPr>
      <w:r>
        <w:rPr>
          <w:rFonts w:ascii="Courier New" w:hAnsi="Courier New" w:eastAsia="Courier New" w:cs="Courier New"/>
          <w:sz w:val="16"/>
        </w:rPr>
        <w:t>BASE_LAYER_WEIGHTS = {k: v / sum(_LN.values()) for k, v in _LN.items()}</w:t>
      </w:r>
    </w:p>
    <w:p>
      <w:pPr>
        <w:keepLines/>
        <w:spacing w:before="0" w:after="0"/>
        <w:ind w:left="360"/>
      </w:pPr>
      <w:r>
        <w:rPr>
          <w:rFonts w:ascii="Courier New" w:hAnsi="Courier New" w:eastAsia="Courier New" w:cs="Courier New"/>
          <w:sz w:val="16"/>
        </w:rPr>
        <w:t xml:space="preserve"> </w:t>
      </w:r>
    </w:p>
    <w:p>
      <w:pPr>
        <w:keepLines/>
        <w:spacing w:before="0" w:after="0"/>
        <w:ind w:left="360"/>
      </w:pPr>
      <w:r>
        <w:rPr>
          <w:rFonts w:ascii="Courier New" w:hAnsi="Courier New" w:eastAsia="Courier New" w:cs="Courier New"/>
          <w:sz w:val="16"/>
        </w:rPr>
        <w:t>def _robust_baseline(values, min_scale):</w:t>
      </w:r>
    </w:p>
    <w:p>
      <w:pPr>
        <w:keepLines/>
        <w:spacing w:before="0" w:after="0"/>
        <w:ind w:left="360"/>
      </w:pPr>
      <w:r>
        <w:rPr>
          <w:rFonts w:ascii="Courier New" w:hAnsi="Courier New" w:eastAsia="Courier New" w:cs="Courier New"/>
          <w:sz w:val="16"/>
        </w:rPr>
        <w:t xml:space="preserve">    """Median and MAD-based spread (1.4826*MAD ~ SD for normal data)."""</w:t>
      </w:r>
    </w:p>
    <w:p>
      <w:pPr>
        <w:keepLines/>
        <w:spacing w:before="0" w:after="0"/>
        <w:ind w:left="360"/>
      </w:pPr>
      <w:r>
        <w:rPr>
          <w:rFonts w:ascii="Courier New" w:hAnsi="Courier New" w:eastAsia="Courier New" w:cs="Courier New"/>
          <w:sz w:val="16"/>
        </w:rPr>
        <w:t xml:space="preserve">    med = statistics.median(values)</w:t>
      </w:r>
    </w:p>
    <w:p>
      <w:pPr>
        <w:keepLines/>
        <w:spacing w:before="0" w:after="0"/>
        <w:ind w:left="360"/>
      </w:pPr>
      <w:r>
        <w:rPr>
          <w:rFonts w:ascii="Courier New" w:hAnsi="Courier New" w:eastAsia="Courier New" w:cs="Courier New"/>
          <w:sz w:val="16"/>
        </w:rPr>
        <w:t xml:space="preserve">    mad = statistics.median([abs(v - med) for v in values])</w:t>
      </w:r>
    </w:p>
    <w:p>
      <w:pPr>
        <w:keepLines/>
        <w:spacing w:before="0" w:after="0"/>
        <w:ind w:left="360"/>
      </w:pPr>
      <w:r>
        <w:rPr>
          <w:rFonts w:ascii="Courier New" w:hAnsi="Courier New" w:eastAsia="Courier New" w:cs="Courier New"/>
          <w:sz w:val="16"/>
        </w:rPr>
        <w:t xml:space="preserve">    return med, max(1.4826 * mad, min_scale)</w:t>
      </w:r>
    </w:p>
    <w:p>
      <w:pPr>
        <w:keepLines/>
        <w:spacing w:before="0" w:after="0"/>
        <w:ind w:left="360"/>
      </w:pPr>
      <w:r>
        <w:rPr>
          <w:rFonts w:ascii="Courier New" w:hAnsi="Courier New" w:eastAsia="Courier New" w:cs="Courier New"/>
          <w:sz w:val="16"/>
        </w:rPr>
        <w:t xml:space="preserve"> </w:t>
      </w:r>
    </w:p>
    <w:p>
      <w:pPr>
        <w:keepLines/>
        <w:spacing w:before="0" w:after="0"/>
        <w:ind w:left="360"/>
      </w:pPr>
      <w:r>
        <w:rPr>
          <w:rFonts w:ascii="Courier New" w:hAnsi="Courier New" w:eastAsia="Courier New" w:cs="Courier New"/>
          <w:sz w:val="16"/>
        </w:rPr>
        <w:t>def _strain_from_z(z_risk):</w:t>
      </w:r>
    </w:p>
    <w:p>
      <w:pPr>
        <w:keepLines/>
        <w:spacing w:before="0" w:after="0"/>
        <w:ind w:left="360"/>
      </w:pPr>
      <w:r>
        <w:rPr>
          <w:rFonts w:ascii="Courier New" w:hAnsi="Courier New" w:eastAsia="Courier New" w:cs="Courier New"/>
          <w:sz w:val="16"/>
        </w:rPr>
        <w:t xml:space="preserve">    """Map a risk-direction z-score to 0-100 strain with a noise dead-zone."""</w:t>
      </w:r>
    </w:p>
    <w:p>
      <w:pPr>
        <w:keepLines/>
        <w:spacing w:before="0" w:after="0"/>
        <w:ind w:left="360"/>
      </w:pPr>
      <w:r>
        <w:rPr>
          <w:rFonts w:ascii="Courier New" w:hAnsi="Courier New" w:eastAsia="Courier New" w:cs="Courier New"/>
          <w:sz w:val="16"/>
        </w:rPr>
        <w:t xml:space="preserve">    s = (z_risk - DEAD_ZONE_Z) / (FULL_STRAIN_Z - DEAD_ZONE_Z)</w:t>
      </w:r>
    </w:p>
    <w:p>
      <w:pPr>
        <w:keepLines/>
        <w:spacing w:before="0" w:after="0"/>
        <w:ind w:left="360"/>
      </w:pPr>
      <w:r>
        <w:rPr>
          <w:rFonts w:ascii="Courier New" w:hAnsi="Courier New" w:eastAsia="Courier New" w:cs="Courier New"/>
          <w:sz w:val="16"/>
        </w:rPr>
        <w:t xml:space="preserve">    return max(0.0, min(1.0, s)) * 100.0</w:t>
      </w:r>
    </w:p>
    <w:p>
      <w:pPr>
        <w:spacing w:before="0" w:after="160"/>
      </w:pPr>
    </w:p>
    <w:p>
      <w:pPr>
        <w:spacing w:after="160" w:line="360" w:lineRule="auto"/>
        <w:ind w:firstLine="0"/>
        <w:jc w:val="both"/>
      </w:pPr>
      <w:r>
        <w:rPr>
          <w:color w:val="000000"/>
        </w:rPr>
        <w:t>Tri-modal safety fusion (agent/tools.py, abridged):</w:t>
      </w:r>
    </w:p>
    <w:p>
      <w:pPr>
        <w:keepLines/>
        <w:spacing w:before="0" w:after="0"/>
        <w:ind w:left="360"/>
      </w:pPr>
      <w:r>
        <w:rPr>
          <w:rFonts w:ascii="Courier New" w:hAnsi="Courier New" w:eastAsia="Courier New" w:cs="Courier New"/>
          <w:sz w:val="16"/>
        </w:rPr>
        <w:t>def check_emergency_fused(message, llm_res, biometric_event=None):</w:t>
      </w:r>
    </w:p>
    <w:p>
      <w:pPr>
        <w:keepLines/>
        <w:spacing w:before="0" w:after="0"/>
        <w:ind w:left="360"/>
      </w:pPr>
      <w:r>
        <w:rPr>
          <w:rFonts w:ascii="Courier New" w:hAnsi="Courier New" w:eastAsia="Courier New" w:cs="Courier New"/>
          <w:sz w:val="16"/>
        </w:rPr>
        <w:t xml:space="preserve">    triggered_kw = match_emergency_keywords(message)</w:t>
      </w:r>
    </w:p>
    <w:p>
      <w:pPr>
        <w:keepLines/>
        <w:spacing w:before="0" w:after="0"/>
        <w:ind w:left="360"/>
      </w:pPr>
      <w:r>
        <w:rPr>
          <w:rFonts w:ascii="Courier New" w:hAnsi="Courier New" w:eastAsia="Courier New" w:cs="Courier New"/>
          <w:sz w:val="16"/>
        </w:rPr>
        <w:t xml:space="preserve">    is_llm_emerg, llm_reason, llm_conf = llm_res</w:t>
      </w:r>
    </w:p>
    <w:p>
      <w:pPr>
        <w:keepLines/>
        <w:spacing w:before="0" w:after="0"/>
        <w:ind w:left="360"/>
      </w:pPr>
      <w:r>
        <w:rPr>
          <w:rFonts w:ascii="Courier New" w:hAnsi="Courier New" w:eastAsia="Courier New" w:cs="Courier New"/>
          <w:sz w:val="16"/>
        </w:rPr>
        <w:t xml:space="preserve">    llm_triggered = is_llm_emerg and llm_conf &gt;= 0.7</w:t>
      </w:r>
    </w:p>
    <w:p>
      <w:pPr>
        <w:keepLines/>
        <w:spacing w:before="0" w:after="0"/>
        <w:ind w:left="360"/>
      </w:pPr>
      <w:r>
        <w:rPr>
          <w:rFonts w:ascii="Courier New" w:hAnsi="Courier New" w:eastAsia="Courier New" w:cs="Courier New"/>
          <w:sz w:val="16"/>
        </w:rPr>
        <w:t xml:space="preserve">    # a keyword hit is ignored only if the LLM confidently disagrees</w:t>
      </w:r>
    </w:p>
    <w:p>
      <w:pPr>
        <w:keepLines/>
        <w:spacing w:before="0" w:after="0"/>
        <w:ind w:left="360"/>
      </w:pPr>
      <w:r>
        <w:rPr>
          <w:rFonts w:ascii="Courier New" w:hAnsi="Courier New" w:eastAsia="Courier New" w:cs="Courier New"/>
          <w:sz w:val="16"/>
        </w:rPr>
        <w:t xml:space="preserve">    if triggered_kw and not is_llm_emerg and llm_conf &gt;= 0.85:</w:t>
      </w:r>
    </w:p>
    <w:p>
      <w:pPr>
        <w:keepLines/>
        <w:spacing w:before="0" w:after="0"/>
        <w:ind w:left="360"/>
      </w:pPr>
      <w:r>
        <w:rPr>
          <w:rFonts w:ascii="Courier New" w:hAnsi="Courier New" w:eastAsia="Courier New" w:cs="Courier New"/>
          <w:sz w:val="16"/>
        </w:rPr>
        <w:t xml:space="preserve">        effective_kw = []</w:t>
      </w:r>
    </w:p>
    <w:p>
      <w:pPr>
        <w:keepLines/>
        <w:spacing w:before="0" w:after="0"/>
        <w:ind w:left="360"/>
      </w:pPr>
      <w:r>
        <w:rPr>
          <w:rFonts w:ascii="Courier New" w:hAnsi="Courier New" w:eastAsia="Courier New" w:cs="Courier New"/>
          <w:sz w:val="16"/>
        </w:rPr>
        <w:t xml:space="preserve">    else:</w:t>
      </w:r>
    </w:p>
    <w:p>
      <w:pPr>
        <w:keepLines/>
        <w:spacing w:before="0" w:after="0"/>
        <w:ind w:left="360"/>
      </w:pPr>
      <w:r>
        <w:rPr>
          <w:rFonts w:ascii="Courier New" w:hAnsi="Courier New" w:eastAsia="Courier New" w:cs="Courier New"/>
          <w:sz w:val="16"/>
        </w:rPr>
        <w:t xml:space="preserve">        effective_kw = triggered_kw</w:t>
      </w:r>
    </w:p>
    <w:p>
      <w:pPr>
        <w:keepLines/>
        <w:spacing w:before="0" w:after="0"/>
        <w:ind w:left="360"/>
      </w:pPr>
      <w:r>
        <w:rPr>
          <w:rFonts w:ascii="Courier New" w:hAnsi="Courier New" w:eastAsia="Courier New" w:cs="Courier New"/>
          <w:sz w:val="16"/>
        </w:rPr>
        <w:t xml:space="preserve">    # an uncancelled ring fall in the last 30 min escalates ANY message</w:t>
      </w:r>
    </w:p>
    <w:p>
      <w:pPr>
        <w:keepLines/>
        <w:spacing w:before="0" w:after="0"/>
        <w:ind w:left="360"/>
      </w:pPr>
      <w:r>
        <w:rPr>
          <w:rFonts w:ascii="Courier New" w:hAnsi="Courier New" w:eastAsia="Courier New" w:cs="Courier New"/>
          <w:sz w:val="16"/>
        </w:rPr>
        <w:t xml:space="preserve">    biometric_triggered = bool(biometric_event)</w:t>
      </w:r>
    </w:p>
    <w:p>
      <w:pPr>
        <w:keepLines/>
        <w:spacing w:before="0" w:after="0"/>
        <w:ind w:left="360"/>
      </w:pPr>
      <w:r>
        <w:rPr>
          <w:rFonts w:ascii="Courier New" w:hAnsi="Courier New" w:eastAsia="Courier New" w:cs="Courier New"/>
          <w:sz w:val="16"/>
        </w:rPr>
        <w:t xml:space="preserve">    is_emergency = bool(effective_kw) or llm_triggered or biometric_triggered</w:t>
      </w:r>
    </w:p>
    <w:p>
      <w:pPr>
        <w:keepLines/>
        <w:spacing w:before="0" w:after="0"/>
        <w:ind w:left="360"/>
      </w:pPr>
      <w:r>
        <w:rPr>
          <w:rFonts w:ascii="Courier New" w:hAnsi="Courier New" w:eastAsia="Courier New" w:cs="Courier New"/>
          <w:sz w:val="16"/>
        </w:rPr>
        <w:t xml:space="preserve">    ...</w:t>
      </w:r>
    </w:p>
    <w:p>
      <w:pPr>
        <w:spacing w:before="0" w:after="160"/>
      </w:pPr>
    </w:p>
    <w:p>
      <w:pPr>
        <w:spacing w:after="160" w:line="360" w:lineRule="auto"/>
        <w:ind w:firstLine="0"/>
        <w:jc w:val="both"/>
      </w:pPr>
      <w:r>
        <w:rPr>
          <w:color w:val="000000"/>
        </w:rPr>
        <w:t>Strict numeric grounding used by self-verification (agent/graph.py):</w:t>
      </w:r>
    </w:p>
    <w:p>
      <w:pPr>
        <w:keepLines/>
        <w:spacing w:before="0" w:after="0"/>
        <w:ind w:left="360"/>
      </w:pPr>
      <w:r>
        <w:rPr>
          <w:rFonts w:ascii="Courier New" w:hAnsi="Courier New" w:eastAsia="Courier New" w:cs="Courier New"/>
          <w:sz w:val="16"/>
        </w:rPr>
        <w:t>def compute_grounding_score_strict(final_reply, patient_data):</w:t>
      </w:r>
    </w:p>
    <w:p>
      <w:pPr>
        <w:keepLines/>
        <w:spacing w:before="0" w:after="0"/>
        <w:ind w:left="360"/>
      </w:pPr>
      <w:r>
        <w:rPr>
          <w:rFonts w:ascii="Courier New" w:hAnsi="Courier New" w:eastAsia="Courier New" w:cs="Courier New"/>
          <w:sz w:val="16"/>
        </w:rPr>
        <w:t xml:space="preserve">    numbers = re.findall(r"\d+(?:\.\d+)?", final_reply or "")</w:t>
      </w:r>
    </w:p>
    <w:p>
      <w:pPr>
        <w:keepLines/>
        <w:spacing w:before="0" w:after="0"/>
        <w:ind w:left="360"/>
      </w:pPr>
      <w:r>
        <w:rPr>
          <w:rFonts w:ascii="Courier New" w:hAnsi="Courier New" w:eastAsia="Courier New" w:cs="Courier New"/>
          <w:sz w:val="16"/>
        </w:rPr>
        <w:t xml:space="preserve">    checked = [n for n in numbers if n not in _GROUNDING_ALLOWLIST]</w:t>
      </w:r>
    </w:p>
    <w:p>
      <w:pPr>
        <w:keepLines/>
        <w:spacing w:before="0" w:after="0"/>
        <w:ind w:left="360"/>
      </w:pPr>
      <w:r>
        <w:rPr>
          <w:rFonts w:ascii="Courier New" w:hAnsi="Courier New" w:eastAsia="Courier New" w:cs="Courier New"/>
          <w:sz w:val="16"/>
        </w:rPr>
        <w:t xml:space="preserve">    if not checked:</w:t>
      </w:r>
    </w:p>
    <w:p>
      <w:pPr>
        <w:keepLines/>
        <w:spacing w:before="0" w:after="0"/>
        <w:ind w:left="360"/>
      </w:pPr>
      <w:r>
        <w:rPr>
          <w:rFonts w:ascii="Courier New" w:hAnsi="Courier New" w:eastAsia="Courier New" w:cs="Courier New"/>
          <w:sz w:val="16"/>
        </w:rPr>
        <w:t xml:space="preserve">        return {"grounding_score": 1.0, "ungrounded_numbers": []}</w:t>
      </w:r>
    </w:p>
    <w:p>
      <w:pPr>
        <w:keepLines/>
        <w:spacing w:before="0" w:after="0"/>
        <w:ind w:left="360"/>
      </w:pPr>
      <w:r>
        <w:rPr>
          <w:rFonts w:ascii="Courier New" w:hAnsi="Courier New" w:eastAsia="Courier New" w:cs="Courier New"/>
          <w:sz w:val="16"/>
        </w:rPr>
        <w:t xml:space="preserve">    ungrounded = [n for n in checked if not re.search(</w:t>
      </w:r>
    </w:p>
    <w:p>
      <w:pPr>
        <w:keepLines/>
        <w:spacing w:before="0" w:after="0"/>
        <w:ind w:left="360"/>
      </w:pPr>
      <w:r>
        <w:rPr>
          <w:rFonts w:ascii="Courier New" w:hAnsi="Courier New" w:eastAsia="Courier New" w:cs="Courier New"/>
          <w:sz w:val="16"/>
        </w:rPr>
        <w:t xml:space="preserve">        r"(?&lt;![\d.])" + re.escape(n) + r"(?![\d]|\.\d)", patient_data)]</w:t>
      </w:r>
    </w:p>
    <w:p>
      <w:pPr>
        <w:keepLines/>
        <w:spacing w:before="0" w:after="0"/>
        <w:ind w:left="360"/>
      </w:pPr>
      <w:r>
        <w:rPr>
          <w:rFonts w:ascii="Courier New" w:hAnsi="Courier New" w:eastAsia="Courier New" w:cs="Courier New"/>
          <w:sz w:val="16"/>
        </w:rPr>
        <w:t xml:space="preserve">    score = (len(checked) - len(ungrounded)) / len(checked)</w:t>
      </w:r>
    </w:p>
    <w:p>
      <w:pPr>
        <w:keepLines/>
        <w:spacing w:before="0" w:after="0"/>
        <w:ind w:left="360"/>
      </w:pPr>
      <w:r>
        <w:rPr>
          <w:rFonts w:ascii="Courier New" w:hAnsi="Courier New" w:eastAsia="Courier New" w:cs="Courier New"/>
          <w:sz w:val="16"/>
        </w:rPr>
        <w:t xml:space="preserve">    return {"grounding_score": round(score, 4), "ungrounded_numbers": ungrounded}</w:t>
      </w:r>
    </w:p>
    <w:p>
      <w:pPr>
        <w:spacing w:before="0" w:after="160"/>
      </w:pPr>
    </w:p>
    <w:p>
      <w:pPr>
        <w:keepNext/>
        <w:spacing w:before="200" w:after="80"/>
      </w:pPr>
      <w:r>
        <w:rPr>
          <w:b/>
          <w:color w:val="000000"/>
        </w:rPr>
        <w:t>Appendix 3: Reproducing the Results</w:t>
      </w:r>
    </w:p>
    <w:p>
      <w:pPr>
        <w:pStyle w:val="ListParagraph"/>
        <w:numPr>
          <w:ilvl w:val="0"/>
          <w:numId w:val="106"/>
        </w:numPr>
        <w:spacing w:before="40" w:after="40" w:line="360" w:lineRule="auto"/>
        <w:jc w:val="both"/>
      </w:pPr>
      <w:r>
        <w:rPr>
          <w:color w:val="000000"/>
        </w:rPr>
        <w:t>Backend: create a Python virtual environment, install requirements.txt and create a .env file with SUPABASE_URL, SUPABASE_SERVICE_ROLE_KEY and GROQ_API_KEY.</w:t>
      </w:r>
    </w:p>
    <w:p>
      <w:pPr>
        <w:pStyle w:val="ListParagraph"/>
        <w:numPr>
          <w:ilvl w:val="0"/>
          <w:numId w:val="106"/>
        </w:numPr>
        <w:spacing w:before="40" w:after="40" w:line="360" w:lineRule="auto"/>
        <w:jc w:val="both"/>
      </w:pPr>
      <w:r>
        <w:rPr>
          <w:color w:val="000000"/>
        </w:rPr>
        <w:t>Run schema.sql and schema_fall.sql once in the Supabase SQL editor, then seed the demonstration cohort with “python seed_fall_demo.py”.</w:t>
      </w:r>
    </w:p>
    <w:p>
      <w:pPr>
        <w:pStyle w:val="ListParagraph"/>
        <w:numPr>
          <w:ilvl w:val="0"/>
          <w:numId w:val="106"/>
        </w:numPr>
        <w:spacing w:before="40" w:after="40" w:line="360" w:lineRule="auto"/>
        <w:jc w:val="both"/>
      </w:pPr>
      <w:r>
        <w:rPr>
          <w:color w:val="000000"/>
        </w:rPr>
        <w:t>Run the offline tests with “pytest tests” and the engine analysis with “python run_fall_engine_analysis.py”.</w:t>
      </w:r>
    </w:p>
    <w:p>
      <w:pPr>
        <w:pStyle w:val="ListParagraph"/>
        <w:numPr>
          <w:ilvl w:val="0"/>
          <w:numId w:val="106"/>
        </w:numPr>
        <w:spacing w:before="40" w:after="40" w:line="360" w:lineRule="auto"/>
        <w:jc w:val="both"/>
      </w:pPr>
      <w:r>
        <w:rPr>
          <w:color w:val="000000"/>
        </w:rPr>
        <w:t>Run the LTMM experiments with “python run_ltmm_validation.py”, “python run_ltmm_experiment2.py” and “python run_ltmm_daily.py”; the data is downloaded from PhysioNet automatically.</w:t>
      </w:r>
    </w:p>
    <w:p>
      <w:pPr>
        <w:pStyle w:val="ListParagraph"/>
        <w:numPr>
          <w:ilvl w:val="0"/>
          <w:numId w:val="106"/>
        </w:numPr>
        <w:spacing w:before="40" w:after="40" w:line="360" w:lineRule="auto"/>
        <w:jc w:val="both"/>
      </w:pPr>
      <w:r>
        <w:rPr>
          <w:color w:val="000000"/>
        </w:rPr>
        <w:t>Run the agent evaluation with “python run_fall_evaluation.py”, then regenerate the results summary with “python scripts/make_review2_summary.py”.</w:t>
      </w:r>
    </w:p>
    <w:p>
      <w:pPr>
        <w:pStyle w:val="ListParagraph"/>
        <w:numPr>
          <w:ilvl w:val="0"/>
          <w:numId w:val="106"/>
        </w:numPr>
        <w:spacing w:before="40" w:after="40" w:line="360" w:lineRule="auto"/>
        <w:jc w:val="both"/>
      </w:pPr>
      <w:r>
        <w:rPr>
          <w:color w:val="000000"/>
        </w:rPr>
        <w:t>Start the server with “uvicorn main:app --host 0.0.0.0 --port 8000”, install the application APK, and enter the laptop’s Wi-Fi address in the AI Assist server dialog.</w:t>
      </w:r>
    </w:p>
    <w:p>
      <w:pPr>
        <w:pageBreakBefore/>
        <w:spacing w:before="80" w:after="400"/>
        <w:jc w:val="center"/>
      </w:pPr>
      <w:r>
        <w:rPr>
          <w:b/>
          <w:color w:val="000000"/>
          <w:sz w:val="32"/>
        </w:rPr>
        <w:t>Bibliography</w:t>
      </w:r>
    </w:p>
    <w:p>
      <w:pPr>
        <w:numPr>
          <w:ilvl w:val="0"/>
          <w:numId w:val="7"/>
        </w:numPr>
        <w:spacing w:before="60" w:after="120"/>
        <w:jc w:val="both"/>
      </w:pPr>
      <w:r>
        <w:rPr>
          <w:color w:val="000000"/>
        </w:rPr>
        <w:t xml:space="preserve">H. H. Mohammed, G. Kiss, J. A. Serrano, and F. Lindseth, “Agentic health analytics for personalized insights from wearable data,” in </w:t>
      </w:r>
      <w:r>
        <w:rPr>
          <w:i/>
          <w:color w:val="000000"/>
        </w:rPr>
        <w:t>Proc. 18th Int. Conf. Agents and Artificial Intelligence (ICAART)</w:t>
      </w:r>
      <w:r>
        <w:rPr>
          <w:color w:val="000000"/>
        </w:rPr>
        <w:t>, Marbella, Spain, vol. 3, pp. 2050–2061, 2026.</w:t>
      </w:r>
    </w:p>
    <w:p>
      <w:pPr>
        <w:numPr>
          <w:ilvl w:val="0"/>
          <w:numId w:val="7"/>
        </w:numPr>
        <w:spacing w:before="60" w:after="120"/>
        <w:jc w:val="both"/>
      </w:pPr>
      <w:r>
        <w:rPr>
          <w:color w:val="000000"/>
        </w:rPr>
        <w:t xml:space="preserve">M. A. Merrill </w:t>
      </w:r>
      <w:r>
        <w:rPr>
          <w:i/>
          <w:color w:val="000000"/>
        </w:rPr>
        <w:t>et al.</w:t>
      </w:r>
      <w:r>
        <w:rPr>
          <w:color w:val="000000"/>
        </w:rPr>
        <w:t xml:space="preserve">, “Transforming wearable data into personal health insights using large language model agents,” </w:t>
      </w:r>
      <w:r>
        <w:rPr>
          <w:i/>
          <w:color w:val="000000"/>
        </w:rPr>
        <w:t>Nature Communications</w:t>
      </w:r>
      <w:r>
        <w:rPr>
          <w:color w:val="000000"/>
        </w:rPr>
        <w:t>, vol. 17, Art. no. 1143, 2026.</w:t>
      </w:r>
    </w:p>
    <w:p>
      <w:pPr>
        <w:numPr>
          <w:ilvl w:val="0"/>
          <w:numId w:val="7"/>
        </w:numPr>
        <w:spacing w:before="60" w:after="120"/>
        <w:jc w:val="both"/>
      </w:pPr>
      <w:r>
        <w:rPr>
          <w:color w:val="000000"/>
        </w:rPr>
        <w:t>Z. Lu, M. Abbasian, and A. M. Rahmani, “Query-conditioned graph retrieval for contextualized LLM reasoning in personalized wearable data,” arXiv:2605.18763, 2026.</w:t>
      </w:r>
    </w:p>
    <w:p>
      <w:pPr>
        <w:numPr>
          <w:ilvl w:val="0"/>
          <w:numId w:val="7"/>
        </w:numPr>
        <w:spacing w:before="60" w:after="120"/>
        <w:jc w:val="both"/>
      </w:pPr>
      <w:r>
        <w:rPr>
          <w:color w:val="000000"/>
        </w:rPr>
        <w:t xml:space="preserve">W. Zhang </w:t>
      </w:r>
      <w:r>
        <w:rPr>
          <w:i/>
          <w:color w:val="000000"/>
        </w:rPr>
        <w:t>et al.</w:t>
      </w:r>
      <w:r>
        <w:rPr>
          <w:color w:val="000000"/>
        </w:rPr>
        <w:t>, “RubricsTree: Scalable and evolving open-ended evaluation of personal health agents across health memory and medical skills,” arXiv:2606.18203, 2026.</w:t>
      </w:r>
    </w:p>
    <w:p>
      <w:pPr>
        <w:numPr>
          <w:ilvl w:val="0"/>
          <w:numId w:val="7"/>
        </w:numPr>
        <w:spacing w:before="60" w:after="120"/>
        <w:jc w:val="both"/>
      </w:pPr>
      <w:r>
        <w:rPr>
          <w:color w:val="000000"/>
        </w:rPr>
        <w:t xml:space="preserve">P. Saha </w:t>
      </w:r>
      <w:r>
        <w:rPr>
          <w:i/>
          <w:color w:val="000000"/>
        </w:rPr>
        <w:t>et al.</w:t>
      </w:r>
      <w:r>
        <w:rPr>
          <w:color w:val="000000"/>
        </w:rPr>
        <w:t>, “Picking the right specialist: Attentive neural process-based selection of task-specialized models as tools for agentic healthcare systems,” arXiv:2602.14901, 2026.</w:t>
      </w:r>
    </w:p>
    <w:p>
      <w:pPr>
        <w:numPr>
          <w:ilvl w:val="0"/>
          <w:numId w:val="7"/>
        </w:numPr>
        <w:spacing w:before="60" w:after="120"/>
        <w:jc w:val="both"/>
      </w:pPr>
      <w:r>
        <w:rPr>
          <w:color w:val="000000"/>
        </w:rPr>
        <w:t xml:space="preserve">S. Yao </w:t>
      </w:r>
      <w:r>
        <w:rPr>
          <w:i/>
          <w:color w:val="000000"/>
        </w:rPr>
        <w:t>et al.</w:t>
      </w:r>
      <w:r>
        <w:rPr>
          <w:color w:val="000000"/>
        </w:rPr>
        <w:t xml:space="preserve">, “ReAct: Synergizing reasoning and acting in language models,” in </w:t>
      </w:r>
      <w:r>
        <w:rPr>
          <w:i/>
          <w:color w:val="000000"/>
        </w:rPr>
        <w:t>Proc. Int. Conf. Learning Representations (ICLR)</w:t>
      </w:r>
      <w:r>
        <w:rPr>
          <w:color w:val="000000"/>
        </w:rPr>
        <w:t>, 2023.</w:t>
      </w:r>
    </w:p>
    <w:p>
      <w:pPr>
        <w:numPr>
          <w:ilvl w:val="0"/>
          <w:numId w:val="7"/>
        </w:numPr>
        <w:spacing w:before="60" w:after="120"/>
        <w:jc w:val="both"/>
      </w:pPr>
      <w:r>
        <w:rPr>
          <w:color w:val="000000"/>
        </w:rPr>
        <w:t xml:space="preserve">P. Manakul, A. Liusie, and M. J. F. Gales, “SelfCheckGPT: Zero-resource black-box hallucination detection for generative large language models,” in </w:t>
      </w:r>
      <w:r>
        <w:rPr>
          <w:i/>
          <w:color w:val="000000"/>
        </w:rPr>
        <w:t>Proc. Conf. Empirical Methods in Natural Language Processing (EMNLP)</w:t>
      </w:r>
      <w:r>
        <w:rPr>
          <w:color w:val="000000"/>
        </w:rPr>
        <w:t>, pp. 9004–9017, 2023.</w:t>
      </w:r>
    </w:p>
    <w:p>
      <w:pPr>
        <w:numPr>
          <w:ilvl w:val="0"/>
          <w:numId w:val="7"/>
        </w:numPr>
        <w:spacing w:before="60" w:after="120"/>
        <w:jc w:val="both"/>
      </w:pPr>
      <w:r>
        <w:rPr>
          <w:color w:val="000000"/>
        </w:rPr>
        <w:t xml:space="preserve">A. Madaan </w:t>
      </w:r>
      <w:r>
        <w:rPr>
          <w:i/>
          <w:color w:val="000000"/>
        </w:rPr>
        <w:t>et al.</w:t>
      </w:r>
      <w:r>
        <w:rPr>
          <w:color w:val="000000"/>
        </w:rPr>
        <w:t xml:space="preserve">, “Self-Refine: Iterative refinement with self-feedback,” in </w:t>
      </w:r>
      <w:r>
        <w:rPr>
          <w:i/>
          <w:color w:val="000000"/>
        </w:rPr>
        <w:t>Advances in Neural Information Processing Systems (NeurIPS)</w:t>
      </w:r>
      <w:r>
        <w:rPr>
          <w:color w:val="000000"/>
        </w:rPr>
        <w:t>, vol. 36, 2023.</w:t>
      </w:r>
    </w:p>
    <w:p>
      <w:pPr>
        <w:numPr>
          <w:ilvl w:val="0"/>
          <w:numId w:val="7"/>
        </w:numPr>
        <w:spacing w:before="60" w:after="120"/>
        <w:jc w:val="both"/>
      </w:pPr>
      <w:r>
        <w:rPr>
          <w:color w:val="000000"/>
        </w:rPr>
        <w:t xml:space="preserve">S. Ateia and U. Kruschwitz, “Can language models critique themselves? Investigating self-feedback for retrieval augmented generation at BioASQ 2025,” in </w:t>
      </w:r>
      <w:r>
        <w:rPr>
          <w:i/>
          <w:color w:val="000000"/>
        </w:rPr>
        <w:t>CLEF 2025 Working Notes (BioASQ Lab)</w:t>
      </w:r>
      <w:r>
        <w:rPr>
          <w:color w:val="000000"/>
        </w:rPr>
        <w:t>, 2025.</w:t>
      </w:r>
    </w:p>
    <w:p>
      <w:pPr>
        <w:numPr>
          <w:ilvl w:val="0"/>
          <w:numId w:val="7"/>
        </w:numPr>
        <w:spacing w:before="60" w:after="120"/>
        <w:jc w:val="both"/>
      </w:pPr>
      <w:r>
        <w:rPr>
          <w:color w:val="000000"/>
        </w:rPr>
        <w:t>Z. Fu, F. Li, J. Gu, H. Wang, P. Nakov, B. Hooi, M.-Y. Kan, and J. Wu, “Better with experience: Self-evolving LLM agents for evidence-grounded health community notes,” arXiv:2606.02215, 2026.</w:t>
      </w:r>
    </w:p>
    <w:p>
      <w:pPr>
        <w:numPr>
          <w:ilvl w:val="0"/>
          <w:numId w:val="7"/>
        </w:numPr>
        <w:spacing w:before="60" w:after="120"/>
        <w:jc w:val="both"/>
      </w:pPr>
      <w:r>
        <w:rPr>
          <w:color w:val="000000"/>
        </w:rPr>
        <w:t xml:space="preserve">S. Deandrea, E. Lucenteforte, F. Bravi, R. Foschi, C. La Vecchia, and E. Negri, “Risk factors for falls in community-dwelling older people: A systematic review and meta-analysis,” </w:t>
      </w:r>
      <w:r>
        <w:rPr>
          <w:i/>
          <w:color w:val="000000"/>
        </w:rPr>
        <w:t>Epidemiology</w:t>
      </w:r>
      <w:r>
        <w:rPr>
          <w:color w:val="000000"/>
        </w:rPr>
        <w:t>, vol. 21, no. 5, pp. 658–668, 2010.</w:t>
      </w:r>
    </w:p>
    <w:p>
      <w:pPr>
        <w:numPr>
          <w:ilvl w:val="0"/>
          <w:numId w:val="7"/>
        </w:numPr>
        <w:spacing w:before="60" w:after="120"/>
        <w:jc w:val="both"/>
      </w:pPr>
      <w:r>
        <w:rPr>
          <w:color w:val="000000"/>
        </w:rPr>
        <w:t xml:space="preserve">J. M. Hausdorff, D. A. Rios, and H. K. Edelberg, “Gait variability and fall risk in community-living older adults: A 1-year prospective study,” </w:t>
      </w:r>
      <w:r>
        <w:rPr>
          <w:i/>
          <w:color w:val="000000"/>
        </w:rPr>
        <w:t>Arch. Phys. Med. Rehabil.</w:t>
      </w:r>
      <w:r>
        <w:rPr>
          <w:color w:val="000000"/>
        </w:rPr>
        <w:t>, vol. 82, no. 8, pp. 1050–1056, 2001.</w:t>
      </w:r>
    </w:p>
    <w:p>
      <w:pPr>
        <w:numPr>
          <w:ilvl w:val="0"/>
          <w:numId w:val="7"/>
        </w:numPr>
        <w:spacing w:before="60" w:after="120"/>
        <w:jc w:val="both"/>
      </w:pPr>
      <w:r>
        <w:rPr>
          <w:color w:val="000000"/>
        </w:rPr>
        <w:t xml:space="preserve">A. Mol, P. T. Bui Hoang, S. Sharmin, E. M. Reijnierse, R. J. van Wezel, C. G. Meskers, and A. B. Maier, “Orthostatic hypotension and falls in older adults: A systematic review and meta-analysis,” </w:t>
      </w:r>
      <w:r>
        <w:rPr>
          <w:i/>
          <w:color w:val="000000"/>
        </w:rPr>
        <w:t>J. Am. Med. Dir. Assoc.</w:t>
      </w:r>
      <w:r>
        <w:rPr>
          <w:color w:val="000000"/>
        </w:rPr>
        <w:t>, vol. 20, no. 5, pp. 589–597, 2019, doi: 10.1016/j.jamda.2018.11.003.</w:t>
      </w:r>
    </w:p>
    <w:p>
      <w:pPr>
        <w:numPr>
          <w:ilvl w:val="0"/>
          <w:numId w:val="7"/>
        </w:numPr>
        <w:spacing w:before="60" w:after="120"/>
        <w:jc w:val="both"/>
      </w:pPr>
      <w:r>
        <w:rPr>
          <w:color w:val="000000"/>
        </w:rPr>
        <w:t xml:space="preserve">J. Baker, M. Hood, L. Swanson, C. Kline, K. Ylitalo, J. Cauley, R. Green, and C. Karvonen-Gutierrez, “Sleep quality and duration and risk of falls in older adult women: The Study of Women’s Health Across the Nation (SWAN),” </w:t>
      </w:r>
      <w:r>
        <w:rPr>
          <w:i/>
          <w:color w:val="000000"/>
        </w:rPr>
        <w:t>Innovation in Aging</w:t>
      </w:r>
      <w:r>
        <w:rPr>
          <w:color w:val="000000"/>
        </w:rPr>
        <w:t>, vol. 8, suppl. 1, p. 112, 2024, doi: 10.1093/geroni/igae098.0360.</w:t>
      </w:r>
    </w:p>
    <w:p>
      <w:pPr>
        <w:numPr>
          <w:ilvl w:val="0"/>
          <w:numId w:val="7"/>
        </w:numPr>
        <w:spacing w:before="60" w:after="120"/>
        <w:jc w:val="both"/>
      </w:pPr>
      <w:r>
        <w:rPr>
          <w:color w:val="000000"/>
        </w:rPr>
        <w:t xml:space="preserve">T. Mishra </w:t>
      </w:r>
      <w:r>
        <w:rPr>
          <w:i/>
          <w:color w:val="000000"/>
        </w:rPr>
        <w:t>et al.</w:t>
      </w:r>
      <w:r>
        <w:rPr>
          <w:color w:val="000000"/>
        </w:rPr>
        <w:t xml:space="preserve">, “Pre-symptomatic detection of COVID-19 from smartwatch data,” </w:t>
      </w:r>
      <w:r>
        <w:rPr>
          <w:i/>
          <w:color w:val="000000"/>
        </w:rPr>
        <w:t>Nature Biomedical Engineering</w:t>
      </w:r>
      <w:r>
        <w:rPr>
          <w:color w:val="000000"/>
        </w:rPr>
        <w:t>, vol. 4, no. 12, pp. 1208–1220, 2020.</w:t>
      </w:r>
    </w:p>
    <w:p>
      <w:pPr>
        <w:numPr>
          <w:ilvl w:val="0"/>
          <w:numId w:val="7"/>
        </w:numPr>
        <w:spacing w:before="60" w:after="120"/>
        <w:jc w:val="both"/>
      </w:pPr>
      <w:r>
        <w:rPr>
          <w:color w:val="000000"/>
        </w:rPr>
        <w:t xml:space="preserve">E. Alzueta </w:t>
      </w:r>
      <w:r>
        <w:rPr>
          <w:i/>
          <w:color w:val="000000"/>
        </w:rPr>
        <w:t>et al.</w:t>
      </w:r>
      <w:r>
        <w:rPr>
          <w:color w:val="000000"/>
        </w:rPr>
        <w:t xml:space="preserve">, “Tracking sleep, temperature, heart rate, and daily symptoms across the menstrual cycle with the Oura ring in healthy women,” </w:t>
      </w:r>
      <w:r>
        <w:rPr>
          <w:i/>
          <w:color w:val="000000"/>
        </w:rPr>
        <w:t>Int. J. Women’s Health</w:t>
      </w:r>
      <w:r>
        <w:rPr>
          <w:color w:val="000000"/>
        </w:rPr>
        <w:t>, vol. 14, pp. 491–503, 2022, doi: 10.2147/IJWH.S341917.</w:t>
      </w:r>
    </w:p>
    <w:p>
      <w:pPr>
        <w:numPr>
          <w:ilvl w:val="0"/>
          <w:numId w:val="7"/>
        </w:numPr>
        <w:spacing w:before="60" w:after="120"/>
        <w:jc w:val="both"/>
      </w:pPr>
      <w:r>
        <w:rPr>
          <w:color w:val="000000"/>
        </w:rPr>
        <w:t xml:space="preserve">E. de Jager, B. Caulfield, E. Angelidi, B. MacNamee, and S. Holden, “Wearable-derived heart rate variability across the menstrual cycle, hormonal contraceptive use, and reproductive life stages in females: A living systematic review,” </w:t>
      </w:r>
      <w:r>
        <w:rPr>
          <w:i/>
          <w:color w:val="000000"/>
        </w:rPr>
        <w:t>Sports Medicine</w:t>
      </w:r>
      <w:r>
        <w:rPr>
          <w:color w:val="000000"/>
        </w:rPr>
        <w:t>, vol. 56, no. 5, pp. 1153–1173, 2026, doi: 10.1007/s40279-025-02388-y.</w:t>
      </w:r>
    </w:p>
    <w:p>
      <w:pPr>
        <w:numPr>
          <w:ilvl w:val="0"/>
          <w:numId w:val="7"/>
        </w:numPr>
        <w:spacing w:before="60" w:after="120"/>
        <w:jc w:val="both"/>
      </w:pPr>
      <w:r>
        <w:rPr>
          <w:color w:val="000000"/>
        </w:rPr>
        <w:t xml:space="preserve">A. Askhatova </w:t>
      </w:r>
      <w:r>
        <w:rPr>
          <w:i/>
          <w:color w:val="000000"/>
        </w:rPr>
        <w:t>et al.</w:t>
      </w:r>
      <w:r>
        <w:rPr>
          <w:color w:val="000000"/>
        </w:rPr>
        <w:t xml:space="preserve">, “A temporal convolutional network approach for gait-based fall risk prediction to support safe sport participation in older adults,” </w:t>
      </w:r>
      <w:r>
        <w:rPr>
          <w:i/>
          <w:color w:val="000000"/>
        </w:rPr>
        <w:t>MethodsX</w:t>
      </w:r>
      <w:r>
        <w:rPr>
          <w:color w:val="000000"/>
        </w:rPr>
        <w:t>, vol. 16, Art. no. 103845, 2026, doi: 10.1016/j.mex.2026.103845.</w:t>
      </w:r>
    </w:p>
    <w:p>
      <w:pPr>
        <w:numPr>
          <w:ilvl w:val="0"/>
          <w:numId w:val="7"/>
        </w:numPr>
        <w:spacing w:before="60" w:after="120"/>
        <w:jc w:val="both"/>
      </w:pPr>
      <w:r>
        <w:rPr>
          <w:color w:val="000000"/>
        </w:rPr>
        <w:t xml:space="preserve">A. Weiss, M. Brozgol, M. Dorfman, T. Herman, S. Shema, N. Giladi, and J. M. Hausdorff, “Does the evaluation of gait quality during daily life provide insight into fall risk? A novel approach using 3-day accelerometer recordings,” </w:t>
      </w:r>
      <w:r>
        <w:rPr>
          <w:i/>
          <w:color w:val="000000"/>
        </w:rPr>
        <w:t>Neurorehabil. Neural Repair</w:t>
      </w:r>
      <w:r>
        <w:rPr>
          <w:color w:val="000000"/>
        </w:rPr>
        <w:t>, vol. 27, no. 8, pp. 742–752, 2013.</w:t>
      </w:r>
    </w:p>
    <w:p>
      <w:pPr>
        <w:numPr>
          <w:ilvl w:val="0"/>
          <w:numId w:val="7"/>
        </w:numPr>
        <w:spacing w:before="60" w:after="120"/>
        <w:jc w:val="both"/>
      </w:pPr>
      <w:r>
        <w:rPr>
          <w:color w:val="000000"/>
        </w:rPr>
        <w:t xml:space="preserve">J. McCamley, M. Donati, E. Grimpampi, and C. Mazzà, “An enhanced estimate of initial contact and final contact instants of time using lower trunk inertial sensor data,” </w:t>
      </w:r>
      <w:r>
        <w:rPr>
          <w:i/>
          <w:color w:val="000000"/>
        </w:rPr>
        <w:t>Gait &amp; Posture</w:t>
      </w:r>
      <w:r>
        <w:rPr>
          <w:color w:val="000000"/>
        </w:rPr>
        <w:t>, vol. 36, no. 2, pp. 316–318, 2012.</w:t>
      </w:r>
    </w:p>
    <w:p>
      <w:pPr>
        <w:numPr>
          <w:ilvl w:val="0"/>
          <w:numId w:val="7"/>
        </w:numPr>
        <w:spacing w:before="60" w:after="120"/>
        <w:jc w:val="both"/>
      </w:pPr>
      <w:r>
        <w:rPr>
          <w:color w:val="000000"/>
        </w:rPr>
        <w:t xml:space="preserve">R. Moe-Nilssen and J. L. Helbostad, “Estimation of gait cycle characteristics by trunk accelerometry,” </w:t>
      </w:r>
      <w:r>
        <w:rPr>
          <w:i/>
          <w:color w:val="000000"/>
        </w:rPr>
        <w:t>J. Biomechanics</w:t>
      </w:r>
      <w:r>
        <w:rPr>
          <w:color w:val="000000"/>
        </w:rPr>
        <w:t>, vol. 37, no. 1, pp. 121–126, 2004.</w:t>
      </w:r>
    </w:p>
    <w:p>
      <w:pPr>
        <w:numPr>
          <w:ilvl w:val="0"/>
          <w:numId w:val="7"/>
        </w:numPr>
        <w:spacing w:before="60" w:after="120"/>
        <w:jc w:val="both"/>
      </w:pPr>
      <w:r>
        <w:rPr>
          <w:color w:val="000000"/>
        </w:rPr>
        <w:t xml:space="preserve">D. Drover, J. Howcroft, J. Kofman, and E. D. Lemaire, “Faller classification in older adults using wearable sensors based on turn and straight-walking accelerometer-based features,” </w:t>
      </w:r>
      <w:r>
        <w:rPr>
          <w:i/>
          <w:color w:val="000000"/>
        </w:rPr>
        <w:t>Sensors</w:t>
      </w:r>
      <w:r>
        <w:rPr>
          <w:color w:val="000000"/>
        </w:rPr>
        <w:t>, vol. 17, no. 6, Art. no. 1321, 2017.</w:t>
      </w:r>
    </w:p>
    <w:p>
      <w:pPr>
        <w:numPr>
          <w:ilvl w:val="0"/>
          <w:numId w:val="7"/>
        </w:numPr>
        <w:spacing w:before="60" w:after="120"/>
        <w:jc w:val="both"/>
      </w:pPr>
      <w:r>
        <w:rPr>
          <w:color w:val="000000"/>
        </w:rPr>
        <w:t>J. M. Hausdorff, “Long Term Movement Monitoring Database (LTMM), version 1.0.0,” PhysioNet, doi: 10.13026/C2S59C.</w:t>
      </w:r>
    </w:p>
    <w:p>
      <w:pPr>
        <w:pageBreakBefore/>
        <w:spacing w:before="80" w:after="400"/>
        <w:jc w:val="center"/>
      </w:pPr>
      <w:r>
        <w:rPr>
          <w:b/>
          <w:color w:val="000000"/>
          <w:sz w:val="32"/>
        </w:rPr>
        <w:t>Biodata</w:t>
      </w:r>
    </w:p>
    <w:p>
      <w:pPr>
        <w:keepNext/>
        <w:pBdr>
          <w:top w:val="single" w:sz="4" w:space="0" w:color="000000"/>
          <w:left w:val="single" w:sz="4" w:space="0" w:color="000000"/>
          <w:bottom w:val="single" w:sz="4" w:space="0" w:color="000000"/>
          <w:right w:val="single" w:sz="4" w:space="0" w:color="000000"/>
        </w:pBdr>
        <w:spacing w:before="160" w:after="60"/>
        <w:jc w:val="center"/>
      </w:pPr>
      <w:r>
        <w:rPr>
          <w:i/>
          <w:color w:val="888888"/>
          <w:sz w:val="22"/>
        </w:rPr>
        <w:t>[Photo – insert here]</w:t>
      </w:r>
    </w:p>
    <w:p>
      <w:pPr>
        <w:keepLines/>
        <w:spacing w:before="60" w:after="240"/>
        <w:jc w:val="center"/>
      </w:pPr>
    </w:p>
    <w:p>
      <w:pPr>
        <w:spacing w:after="40" w:line="360" w:lineRule="auto"/>
        <w:ind w:firstLine="0"/>
        <w:jc w:val="both"/>
      </w:pPr>
      <w:r>
        <w:rPr>
          <w:color w:val="000000"/>
        </w:rPr>
        <w:t>Name: G Sivakumar (23BCE1834)</w:t>
      </w:r>
    </w:p>
    <w:p>
      <w:pPr>
        <w:spacing w:after="40" w:line="360" w:lineRule="auto"/>
        <w:ind w:firstLine="0"/>
        <w:jc w:val="both"/>
      </w:pPr>
      <w:r>
        <w:rPr>
          <w:color w:val="000000"/>
        </w:rPr>
        <w:t>Mobile No.:</w:t>
      </w:r>
    </w:p>
    <w:p>
      <w:pPr>
        <w:spacing w:after="40" w:line="360" w:lineRule="auto"/>
        <w:ind w:firstLine="0"/>
        <w:jc w:val="both"/>
      </w:pPr>
      <w:r>
        <w:rPr>
          <w:color w:val="000000"/>
        </w:rPr>
        <w:t>E-mail:</w:t>
      </w:r>
    </w:p>
    <w:p>
      <w:pPr>
        <w:spacing w:after="40" w:line="360" w:lineRule="auto"/>
        <w:ind w:firstLine="0"/>
        <w:jc w:val="both"/>
      </w:pPr>
      <w:r>
        <w:rPr>
          <w:color w:val="000000"/>
        </w:rPr>
        <w:t>Permanent Address:</w:t>
      </w:r>
    </w:p>
    <w:p>
      <w:pPr>
        <w:spacing w:before="0" w:after="360"/>
      </w:pPr>
    </w:p>
    <w:p>
      <w:pPr>
        <w:keepNext/>
        <w:pBdr>
          <w:top w:val="single" w:sz="4" w:space="0" w:color="000000"/>
          <w:left w:val="single" w:sz="4" w:space="0" w:color="000000"/>
          <w:bottom w:val="single" w:sz="4" w:space="0" w:color="000000"/>
          <w:right w:val="single" w:sz="4" w:space="0" w:color="000000"/>
        </w:pBdr>
        <w:spacing w:before="160" w:after="60"/>
        <w:jc w:val="center"/>
      </w:pPr>
      <w:r>
        <w:rPr>
          <w:i/>
          <w:color w:val="888888"/>
          <w:sz w:val="22"/>
        </w:rPr>
        <w:t>[Photo – insert here]</w:t>
      </w:r>
    </w:p>
    <w:p>
      <w:pPr>
        <w:keepLines/>
        <w:spacing w:before="60" w:after="240"/>
        <w:jc w:val="center"/>
      </w:pPr>
    </w:p>
    <w:p>
      <w:pPr>
        <w:spacing w:after="40" w:line="360" w:lineRule="auto"/>
        <w:ind w:firstLine="0"/>
        <w:jc w:val="both"/>
      </w:pPr>
      <w:r>
        <w:rPr>
          <w:color w:val="000000"/>
        </w:rPr>
        <w:t>Name: Kriti Sahana V (23BCE1868)</w:t>
      </w:r>
    </w:p>
    <w:p>
      <w:pPr>
        <w:spacing w:after="40" w:line="360" w:lineRule="auto"/>
        <w:ind w:firstLine="0"/>
        <w:jc w:val="both"/>
      </w:pPr>
      <w:r>
        <w:rPr>
          <w:color w:val="000000"/>
        </w:rPr>
        <w:t>Mobile No.:</w:t>
      </w:r>
    </w:p>
    <w:p>
      <w:pPr>
        <w:spacing w:after="40" w:line="360" w:lineRule="auto"/>
        <w:ind w:firstLine="0"/>
        <w:jc w:val="both"/>
      </w:pPr>
      <w:r>
        <w:rPr>
          <w:color w:val="000000"/>
        </w:rPr>
        <w:t>E-mail:</w:t>
      </w:r>
    </w:p>
    <w:p>
      <w:pPr>
        <w:spacing w:after="40" w:line="360" w:lineRule="auto"/>
        <w:ind w:firstLine="0"/>
        <w:jc w:val="both"/>
      </w:pPr>
      <w:r>
        <w:rPr>
          <w:color w:val="000000"/>
        </w:rPr>
        <w:t>Permanent Address:</w:t>
      </w:r>
    </w:p>
    <w:p>
      <w:pPr>
        <w:spacing w:before="0" w:after="360"/>
      </w:pPr>
    </w:p>
    <w:sectPr w:rsidR="00EE2207" w:rsidSect="000C7436">
      <w:footerReference w:type="default" r:id="rId11"/>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A4EC5E" w14:textId="77777777" w:rsidR="0000159A" w:rsidRDefault="0000159A">
      <w:r>
        <w:separator/>
      </w:r>
    </w:p>
  </w:endnote>
  <w:endnote w:type="continuationSeparator" w:id="0">
    <w:p w14:paraId="7AFF01D6" w14:textId="77777777" w:rsidR="0000159A" w:rsidRDefault="00001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14334910"/>
      <w:docPartObj>
        <w:docPartGallery w:val="Page Numbers (Bottom of Page)"/>
        <w:docPartUnique/>
      </w:docPartObj>
    </w:sdtPr>
    <w:sdtEndPr>
      <w:rPr>
        <w:noProof/>
      </w:rPr>
    </w:sdtEndPr>
    <w:sdtContent>
      <w:p w14:paraId="26098599" w14:textId="60AB63CE" w:rsidR="000C7436" w:rsidRDefault="000C74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11863" w14:textId="6ACF1946" w:rsidR="00EE2207" w:rsidRDefault="00EE2207">
    <w:pPr>
      <w:spacing w:before="60" w:after="1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14334910"/>
      <w:docPartObj>
        <w:docPartGallery w:val="Page Numbers (Bottom of Page)"/>
        <w:docPartUnique/>
      </w:docPartObj>
    </w:sdtPr>
    <w:sdtEndPr>
      <w:rPr>
        <w:noProof/>
      </w:rPr>
    </w:sdtEndPr>
    <w:sdtContent>
      <w:p w14:paraId="26098599" w14:textId="60AB63CE" w:rsidR="000C7436" w:rsidRDefault="000C74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11863" w14:textId="6ACF1946" w:rsidR="00EE2207" w:rsidRDefault="00EE2207">
    <w:pPr>
      <w:spacing w:before="60" w:after="160"/>
      <w:jc w:val="center"/>
    </w:pPr>
  </w:p>
</w:ftr>
</file>

<file path=word/footer3.xml><?xml version="1.0" encoding="utf-8"?>
<w:ftr xmlns:w="http://schemas.openxmlformats.org/wordprocessingml/2006/main">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473B58" w14:textId="77777777" w:rsidR="0000159A" w:rsidRDefault="0000159A">
      <w:r>
        <w:separator/>
      </w:r>
    </w:p>
  </w:footnote>
  <w:footnote w:type="continuationSeparator" w:id="0">
    <w:p w14:paraId="722886B9" w14:textId="77777777" w:rsidR="0000159A" w:rsidRDefault="000015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A553A3"/>
    <w:multiLevelType w:val="hybridMultilevel"/>
    <w:tmpl w:val="995E500E"/>
    <w:lvl w:ilvl="0" w:tplc="ADC63234">
      <w:start w:val="1"/>
      <w:numFmt w:val="bullet"/>
      <w:lvlText w:val="●"/>
      <w:lvlJc w:val="left"/>
      <w:pPr>
        <w:ind w:left="720" w:hanging="360"/>
      </w:pPr>
    </w:lvl>
    <w:lvl w:ilvl="1" w:tplc="3FB6B0DA">
      <w:start w:val="1"/>
      <w:numFmt w:val="bullet"/>
      <w:lvlText w:val="○"/>
      <w:lvlJc w:val="left"/>
      <w:pPr>
        <w:ind w:left="1440" w:hanging="360"/>
      </w:pPr>
    </w:lvl>
    <w:lvl w:ilvl="2" w:tplc="35F08ECC">
      <w:start w:val="1"/>
      <w:numFmt w:val="bullet"/>
      <w:lvlText w:val="■"/>
      <w:lvlJc w:val="left"/>
      <w:pPr>
        <w:ind w:left="2160" w:hanging="360"/>
      </w:pPr>
    </w:lvl>
    <w:lvl w:ilvl="3" w:tplc="BCF0E208">
      <w:start w:val="1"/>
      <w:numFmt w:val="bullet"/>
      <w:lvlText w:val="●"/>
      <w:lvlJc w:val="left"/>
      <w:pPr>
        <w:ind w:left="2880" w:hanging="360"/>
      </w:pPr>
    </w:lvl>
    <w:lvl w:ilvl="4" w:tplc="CAFEFAC8">
      <w:start w:val="1"/>
      <w:numFmt w:val="bullet"/>
      <w:lvlText w:val="○"/>
      <w:lvlJc w:val="left"/>
      <w:pPr>
        <w:ind w:left="3600" w:hanging="360"/>
      </w:pPr>
    </w:lvl>
    <w:lvl w:ilvl="5" w:tplc="78ACFD6C">
      <w:start w:val="1"/>
      <w:numFmt w:val="bullet"/>
      <w:lvlText w:val="■"/>
      <w:lvlJc w:val="left"/>
      <w:pPr>
        <w:ind w:left="4320" w:hanging="360"/>
      </w:pPr>
    </w:lvl>
    <w:lvl w:ilvl="6" w:tplc="DA8495F2">
      <w:start w:val="1"/>
      <w:numFmt w:val="bullet"/>
      <w:lvlText w:val="●"/>
      <w:lvlJc w:val="left"/>
      <w:pPr>
        <w:ind w:left="5040" w:hanging="360"/>
      </w:pPr>
    </w:lvl>
    <w:lvl w:ilvl="7" w:tplc="075230EE">
      <w:start w:val="1"/>
      <w:numFmt w:val="bullet"/>
      <w:lvlText w:val="●"/>
      <w:lvlJc w:val="left"/>
      <w:pPr>
        <w:ind w:left="5760" w:hanging="360"/>
      </w:pPr>
    </w:lvl>
    <w:lvl w:ilvl="8" w:tplc="7988C1D2">
      <w:start w:val="1"/>
      <w:numFmt w:val="bullet"/>
      <w:lvlText w:val="●"/>
      <w:lvlJc w:val="left"/>
      <w:pPr>
        <w:ind w:left="6480" w:hanging="360"/>
      </w:pPr>
    </w:lvl>
  </w:abstractNum>
  <w:abstractNum w:abstractNumId="1" w15:restartNumberingAfterBreak="0">
    <w:nsid w:val="0AE23155"/>
    <w:multiLevelType w:val="hybridMultilevel"/>
    <w:tmpl w:val="9EF0E966"/>
    <w:lvl w:ilvl="0" w:tplc="8AB48BD6">
      <w:start w:val="1"/>
      <w:numFmt w:val="decimal"/>
      <w:lvlText w:val="%1."/>
      <w:lvlJc w:val="left"/>
      <w:pPr>
        <w:ind w:left="720" w:hanging="360"/>
      </w:pPr>
    </w:lvl>
    <w:lvl w:ilvl="1" w:tplc="312E0D3A">
      <w:numFmt w:val="decimal"/>
      <w:lvlText w:val=""/>
      <w:lvlJc w:val="left"/>
    </w:lvl>
    <w:lvl w:ilvl="2" w:tplc="E3361648">
      <w:numFmt w:val="decimal"/>
      <w:lvlText w:val=""/>
      <w:lvlJc w:val="left"/>
    </w:lvl>
    <w:lvl w:ilvl="3" w:tplc="1BF63350">
      <w:numFmt w:val="decimal"/>
      <w:lvlText w:val=""/>
      <w:lvlJc w:val="left"/>
    </w:lvl>
    <w:lvl w:ilvl="4" w:tplc="E51E6644">
      <w:numFmt w:val="decimal"/>
      <w:lvlText w:val=""/>
      <w:lvlJc w:val="left"/>
    </w:lvl>
    <w:lvl w:ilvl="5" w:tplc="BE14841E">
      <w:numFmt w:val="decimal"/>
      <w:lvlText w:val=""/>
      <w:lvlJc w:val="left"/>
    </w:lvl>
    <w:lvl w:ilvl="6" w:tplc="11CE87E2">
      <w:numFmt w:val="decimal"/>
      <w:lvlText w:val=""/>
      <w:lvlJc w:val="left"/>
    </w:lvl>
    <w:lvl w:ilvl="7" w:tplc="70B084D8">
      <w:numFmt w:val="decimal"/>
      <w:lvlText w:val=""/>
      <w:lvlJc w:val="left"/>
    </w:lvl>
    <w:lvl w:ilvl="8" w:tplc="DA90521A">
      <w:numFmt w:val="decimal"/>
      <w:lvlText w:val=""/>
      <w:lvlJc w:val="left"/>
    </w:lvl>
  </w:abstractNum>
  <w:abstractNum w:abstractNumId="2" w15:restartNumberingAfterBreak="0">
    <w:nsid w:val="10D73A63"/>
    <w:multiLevelType w:val="hybridMultilevel"/>
    <w:tmpl w:val="3F24C7B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50657C"/>
    <w:multiLevelType w:val="multilevel"/>
    <w:tmpl w:val="80D4A22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1705D"/>
    <w:multiLevelType w:val="hybridMultilevel"/>
    <w:tmpl w:val="CA4ECB9A"/>
    <w:lvl w:ilvl="0" w:tplc="65828C54">
      <w:start w:val="1"/>
      <w:numFmt w:val="bullet"/>
      <w:lvlText w:val="•"/>
      <w:lvlJc w:val="left"/>
      <w:pPr>
        <w:ind w:left="720" w:hanging="360"/>
      </w:pPr>
    </w:lvl>
    <w:lvl w:ilvl="1" w:tplc="ECC4CE44">
      <w:numFmt w:val="decimal"/>
      <w:lvlText w:val=""/>
      <w:lvlJc w:val="left"/>
    </w:lvl>
    <w:lvl w:ilvl="2" w:tplc="8EDCFB6C">
      <w:numFmt w:val="decimal"/>
      <w:lvlText w:val=""/>
      <w:lvlJc w:val="left"/>
    </w:lvl>
    <w:lvl w:ilvl="3" w:tplc="E01C2834">
      <w:numFmt w:val="decimal"/>
      <w:lvlText w:val=""/>
      <w:lvlJc w:val="left"/>
    </w:lvl>
    <w:lvl w:ilvl="4" w:tplc="B1628F60">
      <w:numFmt w:val="decimal"/>
      <w:lvlText w:val=""/>
      <w:lvlJc w:val="left"/>
    </w:lvl>
    <w:lvl w:ilvl="5" w:tplc="BC7C5B70">
      <w:numFmt w:val="decimal"/>
      <w:lvlText w:val=""/>
      <w:lvlJc w:val="left"/>
    </w:lvl>
    <w:lvl w:ilvl="6" w:tplc="3D7C19BA">
      <w:numFmt w:val="decimal"/>
      <w:lvlText w:val=""/>
      <w:lvlJc w:val="left"/>
    </w:lvl>
    <w:lvl w:ilvl="7" w:tplc="56186AAE">
      <w:numFmt w:val="decimal"/>
      <w:lvlText w:val=""/>
      <w:lvlJc w:val="left"/>
    </w:lvl>
    <w:lvl w:ilvl="8" w:tplc="2506CF68">
      <w:numFmt w:val="decimal"/>
      <w:lvlText w:val=""/>
      <w:lvlJc w:val="left"/>
    </w:lvl>
  </w:abstractNum>
  <w:abstractNum w:abstractNumId="5" w15:restartNumberingAfterBreak="0">
    <w:nsid w:val="69965DA0"/>
    <w:multiLevelType w:val="multilevel"/>
    <w:tmpl w:val="3A38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D25A87"/>
    <w:multiLevelType w:val="hybridMultilevel"/>
    <w:tmpl w:val="54E89CF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8885657">
    <w:abstractNumId w:val="0"/>
    <w:lvlOverride w:ilvl="0">
      <w:startOverride w:val="1"/>
    </w:lvlOverride>
  </w:num>
  <w:num w:numId="2" w16cid:durableId="2109428521">
    <w:abstractNumId w:val="4"/>
    <w:lvlOverride w:ilvl="0">
      <w:startOverride w:val="1"/>
    </w:lvlOverride>
  </w:num>
  <w:num w:numId="3" w16cid:durableId="1250777618">
    <w:abstractNumId w:val="1"/>
    <w:lvlOverride w:ilvl="0">
      <w:startOverride w:val="1"/>
    </w:lvlOverride>
  </w:num>
  <w:num w:numId="4" w16cid:durableId="717363414">
    <w:abstractNumId w:val="2"/>
  </w:num>
  <w:num w:numId="5" w16cid:durableId="1501265300">
    <w:abstractNumId w:val="6"/>
  </w:num>
  <w:num w:numId="6" w16cid:durableId="852576144">
    <w:abstractNumId w:val="5"/>
  </w:num>
  <w:num w:numId="7" w16cid:durableId="576985948">
    <w:abstractNumId w:val="3"/>
  </w:num>
  <w:num w:numId="100">
    <w:abstractNumId w:val="1"/>
    <w:lvlOverride w:ilvl="0">
      <w:startOverride w:val="1"/>
    </w:lvlOverride>
  </w:num>
  <w:num w:numId="101">
    <w:abstractNumId w:val="1"/>
    <w:lvlOverride w:ilvl="0">
      <w:startOverride w:val="1"/>
    </w:lvlOverride>
  </w:num>
  <w:num w:numId="102">
    <w:abstractNumId w:val="1"/>
    <w:lvlOverride w:ilvl="0">
      <w:startOverride w:val="1"/>
    </w:lvlOverride>
  </w:num>
  <w:num w:numId="103">
    <w:abstractNumId w:val="1"/>
    <w:lvlOverride w:ilvl="0">
      <w:startOverride w:val="1"/>
    </w:lvlOverride>
  </w:num>
  <w:num w:numId="104">
    <w:abstractNumId w:val="1"/>
    <w:lvlOverride w:ilvl="0">
      <w:startOverride w:val="1"/>
    </w:lvlOverride>
  </w:num>
  <w:num w:numId="105">
    <w:abstractNumId w:val="1"/>
    <w:lvlOverride w:ilvl="0">
      <w:startOverride w:val="1"/>
    </w:lvlOverride>
  </w:num>
  <w:num w:numId="10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207"/>
    <w:rsid w:val="0000159A"/>
    <w:rsid w:val="000454F6"/>
    <w:rsid w:val="000747DD"/>
    <w:rsid w:val="000B1220"/>
    <w:rsid w:val="000C7436"/>
    <w:rsid w:val="0017454C"/>
    <w:rsid w:val="001972E8"/>
    <w:rsid w:val="001E0B91"/>
    <w:rsid w:val="00226686"/>
    <w:rsid w:val="003252E2"/>
    <w:rsid w:val="00326A77"/>
    <w:rsid w:val="005016C8"/>
    <w:rsid w:val="00582806"/>
    <w:rsid w:val="00615601"/>
    <w:rsid w:val="007421E7"/>
    <w:rsid w:val="0075391D"/>
    <w:rsid w:val="007565C5"/>
    <w:rsid w:val="007B6D42"/>
    <w:rsid w:val="0089737C"/>
    <w:rsid w:val="008C08FF"/>
    <w:rsid w:val="0099004A"/>
    <w:rsid w:val="00A10E31"/>
    <w:rsid w:val="00B0023C"/>
    <w:rsid w:val="00C97EBA"/>
    <w:rsid w:val="00DE7757"/>
    <w:rsid w:val="00E1558C"/>
    <w:rsid w:val="00E5035E"/>
    <w:rsid w:val="00EA39B6"/>
    <w:rsid w:val="00EE2207"/>
    <w:rsid w:val="00F1284C"/>
    <w:rsid w:val="00FA3835"/>
    <w:rsid w:val="00FA4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9CF3"/>
  <w15:docId w15:val="{DC3683EC-FB39-054A-A81F-7B63653B7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2"/>
      <w:szCs w:val="32"/>
    </w:rPr>
  </w:style>
  <w:style w:type="paragraph" w:styleId="Heading2">
    <w:name w:val="heading 2"/>
    <w:uiPriority w:val="9"/>
    <w:semiHidden/>
    <w:unhideWhenUsed/>
    <w:qFormat/>
    <w:pPr>
      <w:spacing w:before="240" w:after="120"/>
      <w:outlineLvl w:val="1"/>
    </w:pPr>
    <w:rPr>
      <w:b/>
      <w:bCs/>
      <w:color w:val="000000"/>
      <w:sz w:val="28"/>
      <w:szCs w:val="28"/>
    </w:rPr>
  </w:style>
  <w:style w:type="paragraph" w:styleId="Heading3">
    <w:name w:val="heading 3"/>
    <w:uiPriority w:val="9"/>
    <w:semiHidden/>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615601"/>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0B91"/>
    <w:pPr>
      <w:tabs>
        <w:tab w:val="center" w:pos="4513"/>
        <w:tab w:val="right" w:pos="9026"/>
      </w:tabs>
    </w:pPr>
  </w:style>
  <w:style w:type="character" w:customStyle="1" w:styleId="HeaderChar">
    <w:name w:val="Header Char"/>
    <w:basedOn w:val="DefaultParagraphFont"/>
    <w:link w:val="Header"/>
    <w:uiPriority w:val="99"/>
    <w:rsid w:val="001E0B91"/>
  </w:style>
  <w:style w:type="paragraph" w:styleId="Footer">
    <w:name w:val="footer"/>
    <w:basedOn w:val="Normal"/>
    <w:link w:val="FooterChar"/>
    <w:uiPriority w:val="99"/>
    <w:unhideWhenUsed/>
    <w:rsid w:val="001E0B91"/>
    <w:pPr>
      <w:tabs>
        <w:tab w:val="center" w:pos="4513"/>
        <w:tab w:val="right" w:pos="9026"/>
      </w:tabs>
    </w:pPr>
  </w:style>
  <w:style w:type="character" w:customStyle="1" w:styleId="FooterChar">
    <w:name w:val="Footer Char"/>
    <w:basedOn w:val="DefaultParagraphFont"/>
    <w:link w:val="Footer"/>
    <w:uiPriority w:val="99"/>
    <w:rsid w:val="001E0B91"/>
  </w:style>
  <w:style w:type="character" w:styleId="UnresolvedMention">
    <w:name w:val="Unresolved Mention"/>
    <w:basedOn w:val="DefaultParagraphFont"/>
    <w:uiPriority w:val="99"/>
    <w:semiHidden/>
    <w:unhideWhenUsed/>
    <w:rsid w:val="00742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who.in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2424</Words>
  <Characters>13817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kandan</cp:lastModifiedBy>
  <cp:revision>5</cp:revision>
  <dcterms:created xsi:type="dcterms:W3CDTF">2026-03-27T05:56:00Z</dcterms:created>
  <dcterms:modified xsi:type="dcterms:W3CDTF">2026-10-08T04:29:00Z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615555ab-1da8-41d6-876b-ecdef7a5f6ca</vt:lpwstr>
  </property>
</Properties>
</file>