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2A4A"/>
          <w:sz w:val="44"/>
          <w:szCs w:val="44"/>
        </w:rPr>
        <w:t xml:space="preserve">Task 4: Data Storytelling &amp; Statistical Validation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Superstore Sales Analytics — Data Analytics Internship, ApexPlanet Software Pvt. Ltd.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</w:pPr>
      <w:r>
        <w:t xml:space="preserve">This report synthesizes findings from Tasks 1–3 into a single business narrative, then statistically validates one of the key patterns observed in the data. The guiding business question throughout this project has been:</w:t>
      </w:r>
    </w:p>
    <w:p>
      <w:pPr>
        <w:spacing w:after="200"/>
      </w:pPr>
      <w:r>
        <w:rPr>
          <w:b/>
          <w:bCs/>
          <w:i/>
          <w:iCs/>
          <w:color w:val="2E5EAA"/>
        </w:rPr>
        <w:t xml:space="preserve">“Where should Superstore focus to grow profitable, repeatable revenue?”</w:t>
      </w:r>
    </w:p>
    <w:p>
      <w:pPr>
        <w:pStyle w:val="Heading1"/>
        <w:spacing w:after="150" w:before="300"/>
      </w:pPr>
      <w:r>
        <w:t xml:space="preserve">2. Data Story: Synthesis of Tasks 1–3</w:t>
      </w:r>
    </w:p>
    <w:p>
      <w:pPr>
        <w:pStyle w:val="Heading2"/>
        <w:spacing w:after="150" w:before="300"/>
      </w:pPr>
      <w:r>
        <w:t xml:space="preserve">2.1 Foundation (Task 1 — Data Immersion &amp; Wrangling)</w:t>
      </w:r>
    </w:p>
    <w:p>
      <w:pPr>
        <w:spacing w:after="160"/>
      </w:pPr>
      <w:r>
        <w:t xml:space="preserve">The analysis is built on 9,800 cleaned order records spanning 2015–2018, covering 793 unique customers. During Task 1, missing values, duplicate records, and inconsistent date/text formatting were identified and resolved, and derived fields (Order Month, Order Weekday, etc.) were engineered to support time-based analysis. This cleaned dataset is the single source of truth for all subsequent tasks.</w:t>
      </w:r>
    </w:p>
    <w:p>
      <w:pPr>
        <w:pStyle w:val="Heading2"/>
        <w:spacing w:after="150" w:before="300"/>
      </w:pPr>
      <w:r>
        <w:t xml:space="preserve">2.2 What the Data Shows (Task 2 — EDA &amp; Business Intelligence)</w:t>
      </w:r>
    </w:p>
    <w:p>
      <w:pPr>
        <w:spacing w:after="160"/>
      </w:pPr>
      <w:r>
        <w:t xml:space="preserve">Exploratory analysis and SQL querying surfaced four consistent patterns: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Total sales reached $2.26M over the period, growing every year except a dip in 2016, with the strongest growth in 2018 (+20.3% YoY).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West ($710K) and East ($670K) regions together generate over 60% of total revenue; South lags at $389K.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Consumer segment drives 51% of total sales — more than Corporate and Home Office combined.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Phones ($328K) and Chairs ($323K) are the top two revenue-generating sub-categories.</w:t>
      </w:r>
    </w:p>
    <w:p>
      <w:pPr>
        <w:spacing w:after="160"/>
      </w:pPr>
      <w:r>
        <w:t xml:space="preserve">These findings describe WHERE revenue concentrates, but not WHY — which is what the Task 3 deep-dive was designed to answer.</w:t>
      </w:r>
    </w:p>
    <w:p>
      <w:pPr>
        <w:pStyle w:val="Heading2"/>
        <w:spacing w:after="150" w:before="300"/>
      </w:pPr>
      <w:r>
        <w:t xml:space="preserve">2.3 Why It Concentrates There (Task 3 — Cohort Deep-Dive)</w:t>
      </w:r>
    </w:p>
    <w:p>
      <w:pPr>
        <w:spacing w:after="160"/>
      </w:pPr>
      <w:r>
        <w:t xml:space="preserve">Cohort analysis of customer retention and lifetime value (LTV) explains the mechanism behind Task 2's findings: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Repeat purchase rate is 98.4% — almost every customer who buys once buys again.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Average customer LTV is $2,852; median is $2,215 — the gap indicates a smaller group of high-value customers pulling the average up.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Because retention is near-universal, revenue growth in high-performing regions/segments is driven primarily by acquisition volume and order frequency, not by unusually loyal pockets of customers.</w:t>
      </w:r>
    </w:p>
    <w:p>
      <w:pPr>
        <w:spacing w:after="160"/>
      </w:pPr>
      <w:r>
        <w:t xml:space="preserve">This reframes the Task 2 findings: Consumer segment and West/East regions don't win because they retain customers better — nearly everyone retains well. They win because they acquire and transact more often.</w:t>
      </w:r>
    </w:p>
    <w:p>
      <w:pPr>
        <w:pStyle w:val="Heading1"/>
        <w:spacing w:after="150" w:before="300"/>
      </w:pPr>
      <w:r>
        <w:t xml:space="preserve">3. Hypothesis Testing</w:t>
      </w:r>
    </w:p>
    <w:p>
      <w:pPr>
        <w:spacing w:after="160"/>
      </w:pPr>
      <w:r>
        <w:t xml:space="preserve">Task 2 found that the Consumer segment generates the most total revenue. A natural follow-up question is whether Consumer customers also spend more per order (higher average order value), or whether their revenue lead comes purely from order volume. This was tested statistically.</w:t>
      </w:r>
    </w:p>
    <w:p>
      <w:pPr>
        <w:pStyle w:val="Heading2"/>
        <w:spacing w:after="150" w:before="300"/>
      </w:pPr>
      <w:r>
        <w:t xml:space="preserve">3.1 Hypothesis</w:t>
      </w:r>
    </w:p>
    <w:p>
      <w:pPr>
        <w:spacing w:after="160"/>
      </w:pPr>
      <w:r>
        <w:rPr>
          <w:b/>
          <w:bCs/>
        </w:rPr>
        <w:t xml:space="preserve">H₀ (null hypothesis): There is no difference in average order value between Consumer and Corporate customers.</w:t>
      </w:r>
    </w:p>
    <w:p>
      <w:pPr>
        <w:spacing w:after="160"/>
      </w:pPr>
      <w:r>
        <w:t xml:space="preserve">H₁ (alternative hypothesis): Average order value differs between Consumer and Corporate customers.</w:t>
      </w:r>
    </w:p>
    <w:p>
      <w:pPr>
        <w:pStyle w:val="Heading2"/>
        <w:spacing w:after="150" w:before="300"/>
      </w:pPr>
      <w:r>
        <w:t xml:space="preserve">3.2 Method</w:t>
      </w:r>
    </w:p>
    <w:p>
      <w:pPr>
        <w:spacing w:after="160"/>
      </w:pPr>
      <w:r>
        <w:t xml:space="preserve">An independent two-sample t-test (Welch's t-test, which does not assume equal variances) was run on order-level Sales values, comparing the Consumer segment (n = 5,101 orders) against the Corporate segment (n = 2,953 orders).</w:t>
      </w:r>
    </w:p>
    <w:p>
      <w:pPr>
        <w:pStyle w:val="Heading2"/>
        <w:spacing w:after="150" w:before="300"/>
      </w:pPr>
      <w:r>
        <w:t xml:space="preserve">3.3 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c>
          <w:tcPr>
            <w:tcW w:type="dxa" w:w="340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950"/>
            <w:shd w:fill="1B2A4A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shd w:fill="F4F6F9" w:val="clear"/>
          </w:tcPr>
          <w:p>
            <w:r>
              <w:rPr>
                <w:b/>
                <w:bCs/>
                <w:color w:val="1B2A4A"/>
              </w:rPr>
              <w:t xml:space="preserve">Consumer mean order value</w:t>
            </w:r>
          </w:p>
        </w:tc>
        <w:tc>
          <w:tcPr>
            <w:tcW w:type="dxa" w:w="5950"/>
            <w:shd w:fill="F4F6F9" w:val="clear"/>
          </w:tcPr>
          <w:p>
            <w:r>
              <w:t xml:space="preserve">$225.07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b/>
                <w:bCs/>
                <w:color w:val="1B2A4A"/>
              </w:rPr>
              <w:t xml:space="preserve">Corporate mean order value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$233.15</w:t>
            </w:r>
          </w:p>
        </w:tc>
      </w:tr>
      <w:tr>
        <w:tc>
          <w:tcPr>
            <w:tcW w:type="dxa" w:w="3400"/>
            <w:shd w:fill="F4F6F9" w:val="clear"/>
          </w:tcPr>
          <w:p>
            <w:r>
              <w:rPr>
                <w:b/>
                <w:bCs/>
                <w:color w:val="1B2A4A"/>
              </w:rPr>
              <w:t xml:space="preserve">t-statistic</w:t>
            </w:r>
          </w:p>
        </w:tc>
        <w:tc>
          <w:tcPr>
            <w:tcW w:type="dxa" w:w="5950"/>
            <w:shd w:fill="F4F6F9" w:val="clear"/>
          </w:tcPr>
          <w:p>
            <w:r>
              <w:t xml:space="preserve">-0.587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b/>
                <w:bCs/>
                <w:color w:val="1B2A4A"/>
              </w:rPr>
              <w:t xml:space="preserve">p-value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0.5575</w:t>
            </w:r>
          </w:p>
        </w:tc>
      </w:tr>
      <w:tr>
        <w:tc>
          <w:tcPr>
            <w:tcW w:type="dxa" w:w="3400"/>
            <w:shd w:fill="F4F6F9" w:val="clear"/>
          </w:tcPr>
          <w:p>
            <w:r>
              <w:rPr>
                <w:b/>
                <w:bCs/>
                <w:color w:val="1B2A4A"/>
              </w:rPr>
              <w:t xml:space="preserve">Significance threshold (α)</w:t>
            </w:r>
          </w:p>
        </w:tc>
        <w:tc>
          <w:tcPr>
            <w:tcW w:type="dxa" w:w="5950"/>
            <w:shd w:fill="F4F6F9" w:val="clear"/>
          </w:tcPr>
          <w:p>
            <w:r>
              <w:t xml:space="preserve">0.05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b/>
                <w:bCs/>
                <w:color w:val="1B2A4A"/>
              </w:rPr>
              <w:t xml:space="preserve">Conclusion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Fail to reject H₀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3.4 Interpretation</w:t>
      </w:r>
    </w:p>
    <w:p>
      <w:pPr>
        <w:spacing w:after="160"/>
      </w:pPr>
      <w:r>
        <w:t xml:space="preserve">With p = 0.5575, far above the 0.05 significance threshold, there is no statistically significant difference in average order value between Consumer and Corporate customers. The $8 difference observed in the sample is well within the range expected from random variation alone.</w:t>
      </w:r>
    </w:p>
    <w:p>
      <w:pPr>
        <w:pStyle w:val="Heading2"/>
        <w:spacing w:after="150" w:before="300"/>
      </w:pPr>
      <w:r>
        <w:t xml:space="preserve">3.5 Business Conclusion</w:t>
      </w:r>
    </w:p>
    <w:p>
      <w:pPr>
        <w:spacing w:after="160"/>
      </w:pPr>
      <w:r>
        <w:t xml:space="preserve">The Consumer segment's revenue leadership is not explained by higher-value transactions. It is explained by transaction volume — more orders from more customers — consistent with the near-universal retention observed in Task 3. This has a direct strategic implication: segment-based pricing or upsell strategies aimed at increasing Consumer basket size are unlikely to be the highest-leverage lever. Acquisition and purchase frequency are better growth levers than average order value optimization for this segment.</w:t>
      </w:r>
    </w:p>
    <w:p>
      <w:pPr>
        <w:pStyle w:val="Heading1"/>
        <w:spacing w:after="150" w:before="300"/>
      </w:pPr>
      <w:r>
        <w:t xml:space="preserve">4. 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Invest in the South region: the lowest-performing region ($389K) is a candidate for targeted marketing to close the gap with East/West.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Prioritize acquisition over retention tactics: a 98.4% repeat rate shows retention is not the bottleneck — growth should focus on acquiring new customers and increasing purchase frequency.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Double down on Phones &amp; Chairs: as the top two revenue sub-categories, expanding assortment or promotions here has the clearest path to incremental revenue.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Avoid over-indexing on segment-based pricing: since AOV does not differ significantly between Consumer and Corporate (p = 0.56), pricing strategy should not assume Corporate customers are inherently higher-value per transaction.</w:t>
      </w:r>
    </w:p>
    <w:p>
      <w:pPr>
        <w:pStyle w:val="Heading1"/>
        <w:spacing w:after="150" w:before="300"/>
      </w:pPr>
      <w:r>
        <w:t xml:space="preserve">5. Deliverables Summary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Final presentation deck: Superstore_Final_Presentation.pptx (12 slides covering Tasks 1–4)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This report: hypothesis testing summary and full data story narrative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Supporting notebooks: Task2_EDA_BI.ipynb, Task3_DeepDive_Cohort.ipynb, Task4_Storytelling_Hypothesis.ipynb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LinkedIn video (7–10 min): stakeholder presentation of insights — to be recorded and linked separately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B2A4A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2026-08-19T16:26:13.197Z</dcterms:created>
  <dcterms:modified xsi:type="dcterms:W3CDTF">2026-08-19T16:26:13.197Z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