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/>
        <w:jc w:val="center"/>
      </w:pPr>
      <w:r>
        <w:rPr>
          <w:rFonts w:ascii="Arial" w:hAnsi="Arial"/>
          <w:b/>
          <w:color w:val="184C2B"/>
          <w:sz w:val="44"/>
        </w:rPr>
        <w:t>INVESTMENT PROPOSAL &amp; GLOBAL EXPANSION STRATEGY</w:t>
      </w:r>
    </w:p>
    <w:p>
      <w:pPr>
        <w:spacing w:after="360"/>
        <w:jc w:val="center"/>
      </w:pPr>
      <w:r>
        <w:rPr>
          <w:rFonts w:ascii="Arial" w:hAnsi="Arial"/>
          <w:color w:val="646464"/>
          <w:sz w:val="26"/>
        </w:rPr>
        <w:t>Smart Farmer Platform: Scaling Digital Agricultural Infrastructure to $50M+ ARR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5F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Company / Initiative:</w:t>
            </w:r>
          </w:p>
        </w:tc>
        <w:tc>
          <w:tcPr>
            <w:tcW w:type="dxa" w:w="4680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Smart Farmer Platform Global AgTech Network</w:t>
            </w:r>
          </w:p>
        </w:tc>
      </w:tr>
      <w:tr>
        <w:tc>
          <w:tcPr>
            <w:tcW w:type="dxa" w:w="4680"/>
            <w:shd w:fill="F0F5F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Funding Round Target:</w:t>
            </w:r>
          </w:p>
        </w:tc>
        <w:tc>
          <w:tcPr>
            <w:tcW w:type="dxa" w:w="4680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$5,000,000 USD (Series Seed / Early Series A)</w:t>
            </w:r>
          </w:p>
        </w:tc>
      </w:tr>
      <w:tr>
        <w:tc>
          <w:tcPr>
            <w:tcW w:type="dxa" w:w="4680"/>
            <w:shd w:fill="F0F5F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Use of Capital:</w:t>
            </w:r>
          </w:p>
        </w:tc>
        <w:tc>
          <w:tcPr>
            <w:tcW w:type="dxa" w:w="4680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Product &amp; AI Engineering (35%), Global Market Rollout (35%), Operations &amp; Working Capital (20%), Regulatory (10%)</w:t>
            </w:r>
          </w:p>
        </w:tc>
      </w:tr>
      <w:tr>
        <w:tc>
          <w:tcPr>
            <w:tcW w:type="dxa" w:w="4680"/>
            <w:shd w:fill="F0F5F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Current Traction:</w:t>
            </w:r>
          </w:p>
        </w:tc>
        <w:tc>
          <w:tcPr>
            <w:tcW w:type="dxa" w:w="4680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Operational Rayalaseema APMC Pilot (16 collections, 14 roles, MongoDB Atlas cloud, live Vercel gateway)</w:t>
            </w:r>
          </w:p>
        </w:tc>
      </w:tr>
      <w:tr>
        <w:tc>
          <w:tcPr>
            <w:tcW w:type="dxa" w:w="4680"/>
            <w:shd w:fill="F0F5F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Target Geographies:</w:t>
            </w:r>
          </w:p>
        </w:tc>
        <w:tc>
          <w:tcPr>
            <w:tcW w:type="dxa" w:w="4680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Phase 1: Pan-India | Phase 2: Southeast Asia | Phase 3: Sub-Saharan Africa | Phase 4: Latin America</w:t>
            </w:r>
          </w:p>
        </w:tc>
      </w:tr>
    </w:tbl>
    <w:p>
      <w:pPr>
        <w:spacing w:after="240"/>
      </w:pPr>
    </w:p>
    <w:p>
      <w:pPr>
        <w:pStyle w:val="Heading1"/>
        <w:spacing w:before="280" w:after="120"/>
      </w:pPr>
      <w:r>
        <w:rPr>
          <w:b/>
          <w:color w:val="184C2B"/>
          <w:sz w:val="34"/>
        </w:rPr>
        <w:t>1. Executive Summary</w:t>
      </w:r>
    </w:p>
    <w:p>
      <w:pPr>
        <w:spacing w:line="276" w:lineRule="auto"/>
      </w:pPr>
      <w:r>
        <w:t xml:space="preserve">Over 500 million smallholder farmers produce more than 70% of the world's food supply, yet they remain trapped in systemic poverty caused by fragmented supply chains, opaque middleman pricing, high post-harvest losses (over 30% of perishable and dry harvests spoil), and lack of access to institutional credit, storage, and modern machinery. </w:t>
        <w:br/>
        <w:br/>
        <w:t>The Smart Farmer Platform is a unified, cloud-native Digital Agricultural Operating System. By consolidating APMC market yard slot booking, state warehouse negotiable receipt storage (e-NWR), GPS polygon land &amp; fencing calculations, doorstep veterinary visits, multimodal AI diagnostics, fleet logistics tracking, and digital escrow payments into a single interoperable ecosystem, we eliminate supply chain friction and double farmer income.</w:t>
      </w:r>
    </w:p>
    <w:p>
      <w:pPr>
        <w:pStyle w:val="Heading1"/>
        <w:spacing w:before="280" w:after="120"/>
      </w:pPr>
      <w:r>
        <w:rPr>
          <w:b/>
          <w:color w:val="184C2B"/>
          <w:sz w:val="34"/>
        </w:rPr>
        <w:t>2. Market Opportunity &amp; Total Addressable Market (TAM)</w:t>
      </w:r>
    </w:p>
    <w:p>
      <w:r>
        <w:t>The global agtech market is expanding at an 18.2% CAGR, projected to exceed $45 Billion by 2030. The broader smallholder agricultural economy represents a $2.4 Trillion annual transacted value opportunity across emerging markets.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84C2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Market Layer</w:t>
            </w:r>
          </w:p>
        </w:tc>
        <w:tc>
          <w:tcPr>
            <w:tcW w:type="dxa" w:w="3120"/>
            <w:shd w:fill="184C2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Valuation / Volume</w:t>
            </w:r>
          </w:p>
        </w:tc>
        <w:tc>
          <w:tcPr>
            <w:tcW w:type="dxa" w:w="3120"/>
            <w:shd w:fill="184C2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Platform Relevance &amp; Positioning</w:t>
            </w:r>
          </w:p>
        </w:tc>
      </w:tr>
      <w:tr>
        <w:tc>
          <w:tcPr>
            <w:tcW w:type="dxa" w:w="3120"/>
            <w:shd w:fill="F9FB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Total Addressable Market (TAM)</w:t>
            </w:r>
          </w:p>
        </w:tc>
        <w:tc>
          <w:tcPr>
            <w:tcW w:type="dxa" w:w="3120"/>
            <w:shd w:fill="F9FB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$2.4 Trillion</w:t>
            </w:r>
          </w:p>
        </w:tc>
        <w:tc>
          <w:tcPr>
            <w:tcW w:type="dxa" w:w="3120"/>
            <w:shd w:fill="F9FB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Global smallholder agricultural produce, inputs, storage, and machinery commerce across 500M+ farmers.</w:t>
            </w:r>
          </w:p>
        </w:tc>
      </w:tr>
      <w:tr>
        <w:tc>
          <w:tcPr>
            <w:tcW w:type="dxa" w:w="31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Serviceable Addressable Market (SAM)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$480 Billion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Formalized wholesale market yard arrivals, licensed warehouse receipts, and mechanized equipment rental in India, SE Asia, and Africa.</w:t>
            </w:r>
          </w:p>
        </w:tc>
      </w:tr>
      <w:tr>
        <w:tc>
          <w:tcPr>
            <w:tcW w:type="dxa" w:w="3120"/>
            <w:shd w:fill="F9FB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Serviceable Obtainable Market (SOM)</w:t>
            </w:r>
          </w:p>
        </w:tc>
        <w:tc>
          <w:tcPr>
            <w:tcW w:type="dxa" w:w="3120"/>
            <w:shd w:fill="F9FB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$12.5 Billion GMV</w:t>
            </w:r>
          </w:p>
        </w:tc>
        <w:tc>
          <w:tcPr>
            <w:tcW w:type="dxa" w:w="3120"/>
            <w:shd w:fill="F9FB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Achieving 5-year capture across 500+ APMC mandis and 10 million active transacting smallholders, generating $150M+ annual net revenue.</w:t>
            </w:r>
          </w:p>
        </w:tc>
      </w:tr>
    </w:tbl>
    <w:p>
      <w:pPr>
        <w:pStyle w:val="Heading1"/>
        <w:spacing w:before="280" w:after="120"/>
      </w:pPr>
      <w:r>
        <w:rPr>
          <w:b/>
          <w:color w:val="184C2B"/>
          <w:sz w:val="34"/>
        </w:rPr>
        <w:t>3. Business Model &amp; Multi-Stream Revenue Architecture</w:t>
      </w:r>
    </w:p>
    <w:p>
      <w:r>
        <w:t>Unlike single-feature agtech apps, our multi-stakeholder ecosystem monetizes 5 distinct recurring high-margin revenue streams:</w:t>
      </w:r>
    </w:p>
    <w:p>
      <w:pPr>
        <w:pStyle w:val="Heading2"/>
        <w:spacing w:before="280" w:after="120"/>
      </w:pPr>
      <w:r>
        <w:rPr>
          <w:b/>
          <w:color w:val="267344"/>
          <w:sz w:val="26"/>
        </w:rPr>
        <w:t>Stream 1: APMC Mandi Transaction Take-Rate (0.75% - 1.5% GMV)</w:t>
      </w:r>
    </w:p>
    <w:p>
      <w:pPr>
        <w:spacing w:line="276" w:lineRule="auto"/>
      </w:pPr>
      <w:r>
        <w:t>Commission on transacted commodity lots passing through digital gate passes, weighbridge scales, and automated escrow biddings.</w:t>
      </w:r>
    </w:p>
    <w:p>
      <w:pPr>
        <w:pStyle w:val="Heading2"/>
        <w:spacing w:before="280" w:after="120"/>
      </w:pPr>
      <w:r>
        <w:rPr>
          <w:b/>
          <w:color w:val="267344"/>
          <w:sz w:val="26"/>
        </w:rPr>
        <w:t>Stream 2: Warehouse e-NWR Management SaaS Fee ($150 - $400/godown/month)</w:t>
      </w:r>
    </w:p>
    <w:p>
      <w:pPr>
        <w:spacing w:line="276" w:lineRule="auto"/>
      </w:pPr>
      <w:r>
        <w:t>State and private warehouse operators pay recurring software subscription fees for automated capacity allocation, moisture tracking, and digital Negotiable Warehouse Receipt issuance for banking collateral.</w:t>
      </w:r>
    </w:p>
    <w:p>
      <w:pPr>
        <w:pStyle w:val="Heading2"/>
        <w:spacing w:before="280" w:after="120"/>
      </w:pPr>
      <w:r>
        <w:rPr>
          <w:b/>
          <w:color w:val="267344"/>
          <w:sz w:val="26"/>
        </w:rPr>
        <w:t>Stream 3: Peer-to-Peer Machinery Rental Commission (8% - 12%)</w:t>
      </w:r>
    </w:p>
    <w:p>
      <w:pPr>
        <w:spacing w:line="276" w:lineRule="auto"/>
      </w:pPr>
      <w:r>
        <w:t>Marketplace commission fee on tractor, harvester, and drone rental bookings connecting equipment owners with smallholder farmers.</w:t>
      </w:r>
    </w:p>
    <w:p>
      <w:pPr>
        <w:pStyle w:val="Heading2"/>
        <w:spacing w:before="280" w:after="120"/>
      </w:pPr>
      <w:r>
        <w:rPr>
          <w:b/>
          <w:color w:val="267344"/>
          <w:sz w:val="26"/>
        </w:rPr>
        <w:t>Stream 4: Digital Agri-Tools E-Commerce Margin (5% - 15%)</w:t>
      </w:r>
    </w:p>
    <w:p>
      <w:pPr>
        <w:spacing w:line="276" w:lineRule="auto"/>
      </w:pPr>
      <w:r>
        <w:t>Direct retail margins on certified hybrid seeds, solar pumps, micro-irrigation hardware, and bio-fertilizers shipped via integrated rural logistics.</w:t>
      </w:r>
    </w:p>
    <w:p>
      <w:pPr>
        <w:pStyle w:val="Heading2"/>
        <w:spacing w:before="280" w:after="120"/>
      </w:pPr>
      <w:r>
        <w:rPr>
          <w:b/>
          <w:color w:val="267344"/>
          <w:sz w:val="26"/>
        </w:rPr>
        <w:t>Stream 5: FinTech Float &amp; Micro-Lending Data Licensing</w:t>
      </w:r>
    </w:p>
    <w:p>
      <w:pPr>
        <w:spacing w:line="276" w:lineRule="auto"/>
      </w:pPr>
      <w:r>
        <w:t>Earn interest on short-term escrow transaction float and monetize proprietary crop-yield data scoring to partner banks for agricultural lending.</w:t>
      </w:r>
    </w:p>
    <w:p>
      <w:pPr>
        <w:pStyle w:val="Heading1"/>
        <w:spacing w:before="280" w:after="120"/>
      </w:pPr>
      <w:r>
        <w:rPr>
          <w:b/>
          <w:color w:val="184C2B"/>
          <w:sz w:val="34"/>
        </w:rPr>
        <w:t>4. 5-Year Global Financial Forecast (USD Millions)</w:t>
      </w:r>
    </w:p>
    <w:p>
      <w:r>
        <w:t>Conservative model based on 100 APMC mandis in Year 1 scaling to 2,400+ hubs across 4 continents by Year 5: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184C2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Metric ($ Millions)</w:t>
            </w:r>
          </w:p>
        </w:tc>
        <w:tc>
          <w:tcPr>
            <w:tcW w:type="dxa" w:w="1560"/>
            <w:shd w:fill="184C2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Year 1</w:t>
            </w:r>
          </w:p>
        </w:tc>
        <w:tc>
          <w:tcPr>
            <w:tcW w:type="dxa" w:w="1560"/>
            <w:shd w:fill="184C2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Year 2</w:t>
            </w:r>
          </w:p>
        </w:tc>
        <w:tc>
          <w:tcPr>
            <w:tcW w:type="dxa" w:w="1560"/>
            <w:shd w:fill="184C2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Year 3</w:t>
            </w:r>
          </w:p>
        </w:tc>
        <w:tc>
          <w:tcPr>
            <w:tcW w:type="dxa" w:w="1560"/>
            <w:shd w:fill="184C2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Year 4</w:t>
            </w:r>
          </w:p>
        </w:tc>
        <w:tc>
          <w:tcPr>
            <w:tcW w:type="dxa" w:w="1560"/>
            <w:shd w:fill="184C2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Year 5</w:t>
            </w:r>
          </w:p>
        </w:tc>
      </w:tr>
      <w:tr>
        <w:tc>
          <w:tcPr>
            <w:tcW w:type="dxa" w:w="1560"/>
            <w:shd w:fill="F9FB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Gross Merchandise Value (GMV)</w:t>
            </w:r>
          </w:p>
        </w:tc>
        <w:tc>
          <w:tcPr>
            <w:tcW w:type="dxa" w:w="1560"/>
            <w:shd w:fill="F9FB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$45.0M</w:t>
            </w:r>
          </w:p>
        </w:tc>
        <w:tc>
          <w:tcPr>
            <w:tcW w:type="dxa" w:w="1560"/>
            <w:shd w:fill="F9FB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$180.0M</w:t>
            </w:r>
          </w:p>
        </w:tc>
        <w:tc>
          <w:tcPr>
            <w:tcW w:type="dxa" w:w="1560"/>
            <w:shd w:fill="F9FB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$650.0M</w:t>
            </w:r>
          </w:p>
        </w:tc>
        <w:tc>
          <w:tcPr>
            <w:tcW w:type="dxa" w:w="1560"/>
            <w:shd w:fill="F9FB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$1,850.0M</w:t>
            </w:r>
          </w:p>
        </w:tc>
        <w:tc>
          <w:tcPr>
            <w:tcW w:type="dxa" w:w="1560"/>
            <w:shd w:fill="F9FB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$4,800.0M</w:t>
            </w:r>
          </w:p>
        </w:tc>
      </w:tr>
      <w:tr>
        <w:tc>
          <w:tcPr>
            <w:tcW w:type="dxa" w:w="15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Net Platform Revenue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$1.25M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$5.40M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$21.50M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$68.20M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$192.00M</w:t>
            </w:r>
          </w:p>
        </w:tc>
      </w:tr>
      <w:tr>
        <w:tc>
          <w:tcPr>
            <w:tcW w:type="dxa" w:w="1560"/>
            <w:shd w:fill="F9FB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Gross Profit (82% avg margin)</w:t>
            </w:r>
          </w:p>
        </w:tc>
        <w:tc>
          <w:tcPr>
            <w:tcW w:type="dxa" w:w="1560"/>
            <w:shd w:fill="F9FB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$1.02M</w:t>
            </w:r>
          </w:p>
        </w:tc>
        <w:tc>
          <w:tcPr>
            <w:tcW w:type="dxa" w:w="1560"/>
            <w:shd w:fill="F9FB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$4.48M</w:t>
            </w:r>
          </w:p>
        </w:tc>
        <w:tc>
          <w:tcPr>
            <w:tcW w:type="dxa" w:w="1560"/>
            <w:shd w:fill="F9FB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$18.06M</w:t>
            </w:r>
          </w:p>
        </w:tc>
        <w:tc>
          <w:tcPr>
            <w:tcW w:type="dxa" w:w="1560"/>
            <w:shd w:fill="F9FB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$57.97M</w:t>
            </w:r>
          </w:p>
        </w:tc>
        <w:tc>
          <w:tcPr>
            <w:tcW w:type="dxa" w:w="1560"/>
            <w:shd w:fill="F9FB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$165.12M</w:t>
            </w:r>
          </w:p>
        </w:tc>
      </w:tr>
      <w:tr>
        <w:tc>
          <w:tcPr>
            <w:tcW w:type="dxa" w:w="15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Operating Expenses (OPEX)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$2.85M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$5.10M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$12.40M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$28.50M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$62.00M</w:t>
            </w:r>
          </w:p>
        </w:tc>
      </w:tr>
      <w:tr>
        <w:tc>
          <w:tcPr>
            <w:tcW w:type="dxa" w:w="1560"/>
            <w:shd w:fill="F9FB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EBITDA</w:t>
            </w:r>
          </w:p>
        </w:tc>
        <w:tc>
          <w:tcPr>
            <w:tcW w:type="dxa" w:w="1560"/>
            <w:shd w:fill="F9FB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($1.83M)</w:t>
            </w:r>
          </w:p>
        </w:tc>
        <w:tc>
          <w:tcPr>
            <w:tcW w:type="dxa" w:w="1560"/>
            <w:shd w:fill="F9FB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($0.62M)</w:t>
            </w:r>
          </w:p>
        </w:tc>
        <w:tc>
          <w:tcPr>
            <w:tcW w:type="dxa" w:w="1560"/>
            <w:shd w:fill="F9FB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$5.66M</w:t>
            </w:r>
          </w:p>
        </w:tc>
        <w:tc>
          <w:tcPr>
            <w:tcW w:type="dxa" w:w="1560"/>
            <w:shd w:fill="F9FB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$29.47M</w:t>
            </w:r>
          </w:p>
        </w:tc>
        <w:tc>
          <w:tcPr>
            <w:tcW w:type="dxa" w:w="1560"/>
            <w:shd w:fill="F9FB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$103.12M</w:t>
            </w:r>
          </w:p>
        </w:tc>
      </w:tr>
    </w:tbl>
    <w:p>
      <w:pPr>
        <w:pStyle w:val="Heading1"/>
        <w:spacing w:before="280" w:after="120"/>
      </w:pPr>
      <w:r>
        <w:rPr>
          <w:b/>
          <w:color w:val="184C2B"/>
          <w:sz w:val="34"/>
        </w:rPr>
        <w:t>5. Four-Phase International Expansion Strategy</w:t>
      </w:r>
    </w:p>
    <w:p>
      <w:pPr>
        <w:pStyle w:val="Heading2"/>
        <w:spacing w:before="280" w:after="120"/>
      </w:pPr>
      <w:r>
        <w:rPr>
          <w:b/>
          <w:color w:val="267344"/>
          <w:sz w:val="26"/>
        </w:rPr>
        <w:t>Phase 1: Pan-India Expansion (Months 1 - 18)</w:t>
      </w:r>
    </w:p>
    <w:p>
      <w:pPr>
        <w:spacing w:line="276" w:lineRule="auto"/>
      </w:pPr>
      <w:r>
        <w:t>Scale from Rayalaseema (Kurnool, Anantapur, Nandyal) across 5 primary agricultural states: Andhra Pradesh, Telangana, Karnataka, Maharashtra, and Punjab. Target 450 APMC market yards, 1,200 godowns, and 1.5 million registered farmers.</w:t>
      </w:r>
    </w:p>
    <w:p>
      <w:pPr>
        <w:pStyle w:val="Heading2"/>
        <w:spacing w:before="280" w:after="120"/>
      </w:pPr>
      <w:r>
        <w:rPr>
          <w:b/>
          <w:color w:val="267344"/>
          <w:sz w:val="26"/>
        </w:rPr>
        <w:t>Phase 2: Southeast Asia Entry (Months 19 - 30)</w:t>
      </w:r>
    </w:p>
    <w:p>
      <w:pPr>
        <w:spacing w:line="276" w:lineRule="auto"/>
      </w:pPr>
      <w:r>
        <w:t>Expand into Indonesia, Vietnam, and Thailand. Partner with local agricultural cooperatives and wholesale grain centers. Deploy localized language models (Bahasa Indonesia, Vietnamese, Thai) and regional currency payment gateways.</w:t>
      </w:r>
    </w:p>
    <w:p>
      <w:pPr>
        <w:pStyle w:val="Heading2"/>
        <w:spacing w:before="280" w:after="120"/>
      </w:pPr>
      <w:r>
        <w:rPr>
          <w:b/>
          <w:color w:val="267344"/>
          <w:sz w:val="26"/>
        </w:rPr>
        <w:t>Phase 3: Sub-Saharan Africa Rollout (Months 31 - 44)</w:t>
      </w:r>
    </w:p>
    <w:p>
      <w:pPr>
        <w:spacing w:line="276" w:lineRule="auto"/>
      </w:pPr>
      <w:r>
        <w:t>Target Kenya, Nigeria, Tanzania, and Ghana. Integrate with mobile money systems (M-Pesa, MTN Mobile Money) and national commodity exchanges. Deploy offline-first IVR and SMS booking channels to serve rural regions with low smartphone penetration.</w:t>
      </w:r>
    </w:p>
    <w:p>
      <w:pPr>
        <w:pStyle w:val="Heading2"/>
        <w:spacing w:before="280" w:after="120"/>
      </w:pPr>
      <w:r>
        <w:rPr>
          <w:b/>
          <w:color w:val="267344"/>
          <w:sz w:val="26"/>
        </w:rPr>
        <w:t>Phase 4: Latin America Scaling (Months 45 - 60)</w:t>
      </w:r>
    </w:p>
    <w:p>
      <w:pPr>
        <w:spacing w:line="276" w:lineRule="auto"/>
      </w:pPr>
      <w:r>
        <w:t>Expand to Brazil, Colombia, and Mexico. Focus on medium-scale grain, soybean, and coffee smallholder clusters. Integrate satellite telemetry and export shipping documentation.</w:t>
      </w:r>
    </w:p>
    <w:p>
      <w:pPr>
        <w:pStyle w:val="Heading1"/>
        <w:spacing w:before="280" w:after="120"/>
      </w:pPr>
      <w:r>
        <w:rPr>
          <w:b/>
          <w:color w:val="184C2B"/>
          <w:sz w:val="34"/>
        </w:rPr>
        <w:t>6. Funding Allocation &amp; Capital Deployment ($5,000,000 USD)</w:t>
      </w:r>
    </w:p>
    <w:p>
      <w:r>
        <w:t>The $5.0M round will be deployed across four operational pillars over an 18-month runway: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84C2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Pillar</w:t>
            </w:r>
          </w:p>
        </w:tc>
        <w:tc>
          <w:tcPr>
            <w:tcW w:type="dxa" w:w="2340"/>
            <w:shd w:fill="184C2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Allocation ($)</w:t>
            </w:r>
          </w:p>
        </w:tc>
        <w:tc>
          <w:tcPr>
            <w:tcW w:type="dxa" w:w="2340"/>
            <w:shd w:fill="184C2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% Total</w:t>
            </w:r>
          </w:p>
        </w:tc>
        <w:tc>
          <w:tcPr>
            <w:tcW w:type="dxa" w:w="2340"/>
            <w:shd w:fill="184C2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Core Objectives &amp; Milestone Deliverables</w:t>
            </w:r>
          </w:p>
        </w:tc>
      </w:tr>
      <w:tr>
        <w:tc>
          <w:tcPr>
            <w:tcW w:type="dxa" w:w="2340"/>
            <w:shd w:fill="F9FB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Engineering &amp; AI R&amp;D</w:t>
            </w:r>
          </w:p>
        </w:tc>
        <w:tc>
          <w:tcPr>
            <w:tcW w:type="dxa" w:w="2340"/>
            <w:shd w:fill="F9FB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$1,750,000</w:t>
            </w:r>
          </w:p>
        </w:tc>
        <w:tc>
          <w:tcPr>
            <w:tcW w:type="dxa" w:w="2340"/>
            <w:shd w:fill="F9FB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35%</w:t>
            </w:r>
          </w:p>
        </w:tc>
        <w:tc>
          <w:tcPr>
            <w:tcW w:type="dxa" w:w="2340"/>
            <w:shd w:fill="F9FB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Multimodal crop vision models, real-time GPS fleet dispatch, distributed MongoDB sharding, and offline PWA.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Field Ops &amp; Market Expansion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$1,750,000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35%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Onboard 400+ APMC mandis, establish 1,000 village Rythu Bharosa kiosks, farmer community activation.</w:t>
            </w:r>
          </w:p>
        </w:tc>
      </w:tr>
      <w:tr>
        <w:tc>
          <w:tcPr>
            <w:tcW w:type="dxa" w:w="2340"/>
            <w:shd w:fill="F9FB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Working Capital &amp; FinTech Reserve</w:t>
            </w:r>
          </w:p>
        </w:tc>
        <w:tc>
          <w:tcPr>
            <w:tcW w:type="dxa" w:w="2340"/>
            <w:shd w:fill="F9FB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$1,000,000</w:t>
            </w:r>
          </w:p>
        </w:tc>
        <w:tc>
          <w:tcPr>
            <w:tcW w:type="dxa" w:w="2340"/>
            <w:shd w:fill="F9FB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20%</w:t>
            </w:r>
          </w:p>
        </w:tc>
        <w:tc>
          <w:tcPr>
            <w:tcW w:type="dxa" w:w="2340"/>
            <w:shd w:fill="F9FB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Escrow guarantee reserves, payment gateway liquidity, regulatory capital requirements, and buffer.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Legal, Compliance &amp; Admin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$500,000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10%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APMC statutory licenses, international corporate structuring (Delaware / Singapore / India), ESG audits.</w:t>
            </w:r>
          </w:p>
        </w:tc>
      </w:tr>
    </w:tbl>
    <w:p>
      <w:pPr>
        <w:pStyle w:val="Heading1"/>
        <w:spacing w:before="280" w:after="120"/>
      </w:pPr>
      <w:r>
        <w:rPr>
          <w:b/>
          <w:color w:val="184C2B"/>
          <w:sz w:val="34"/>
        </w:rPr>
        <w:t>7. Social &amp; Environmental Impact (UN SDG Alignment)</w:t>
      </w:r>
    </w:p>
    <w:p>
      <w:pPr>
        <w:spacing w:line="276" w:lineRule="auto"/>
      </w:pPr>
      <w:r>
        <w:t xml:space="preserve">The Smart Farmer Platform is an impact-first enterprise directly aligned with 4 United Nations Sustainable Development Goals: </w:t>
        <w:br/>
        <w:t>• SDG 1 (No Poverty): Direct farmer-to-buyer transactions eliminate exploitative intermediary margins, increasing take-home income by 22% to 35%.</w:t>
        <w:br/>
        <w:t>• SDG 2 (Zero Hunger): Scheduled mandi arrivals and temperature/moisture-monitored godown receipts prevent 1.2M+ tons of preventable grain rotting.</w:t>
        <w:br/>
        <w:t>• SDG 8 (Decent Work &amp; Economic Growth): Empowers rural logistics drivers and custom equipment rental operators with verifiable, recurring digital earnings.</w:t>
        <w:br/>
        <w:t>• SDG 12 (Responsible Consumption &amp; Production): AI-driven variable rate fertilizer dosage calculations eliminate chemical groundwater contamination.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