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184C2B"/>
          <w:sz w:val="52"/>
        </w:rPr>
        <w:t>SMART FARMER PLATFORM</w:t>
      </w:r>
    </w:p>
    <w:p>
      <w:pPr>
        <w:spacing w:after="360"/>
        <w:jc w:val="center"/>
      </w:pPr>
      <w:r>
        <w:rPr>
          <w:rFonts w:ascii="Arial" w:hAnsi="Arial"/>
          <w:color w:val="646464"/>
          <w:sz w:val="28"/>
        </w:rPr>
        <w:t>New Features Specification &amp; Engineering Architecture Document</w:t>
      </w:r>
    </w:p>
    <w:tbl>
      <w:tblPr>
        <w:tblW w:type="auto" w:w="0"/>
        <w:jc w:val="center"/>
        <w:tblLook w:firstColumn="1" w:firstRow="1" w:lastColumn="0" w:lastRow="0" w:noHBand="0" w:noVBand="1" w:val="04A0"/>
      </w:tblPr>
      <w:tblGrid>
        <w:gridCol w:w="4680"/>
        <w:gridCol w:w="4680"/>
      </w:tblGrid>
      <w:tr>
        <w:tc>
          <w:tcPr>
            <w:tcW w:type="dxa" w:w="4680"/>
            <w:shd w:fill="F0F5F1"/>
            <w:tcMar>
              <w:top w:w="60" w:type="dxa"/>
              <w:bottom w:w="60" w:type="dxa"/>
              <w:left w:w="100" w:type="dxa"/>
              <w:right w:w="100" w:type="dxa"/>
            </w:tcMar>
          </w:tcPr>
          <w:p>
            <w:r>
              <w:rPr>
                <w:b/>
                <w:sz w:val="19"/>
              </w:rPr>
              <w:t>Project:</w:t>
            </w:r>
          </w:p>
        </w:tc>
        <w:tc>
          <w:tcPr>
            <w:tcW w:type="dxa" w:w="4680"/>
            <w:shd w:fill="FAFAFA"/>
            <w:tcMar>
              <w:top w:w="60" w:type="dxa"/>
              <w:bottom w:w="60" w:type="dxa"/>
              <w:left w:w="100" w:type="dxa"/>
              <w:right w:w="100" w:type="dxa"/>
            </w:tcMar>
          </w:tcPr>
          <w:p>
            <w:r>
              <w:rPr>
                <w:sz w:val="19"/>
              </w:rPr>
              <w:t>Smart Farmer Platform (National &amp; Global Agri-Gateway)</w:t>
            </w:r>
          </w:p>
        </w:tc>
      </w:tr>
      <w:tr>
        <w:tc>
          <w:tcPr>
            <w:tcW w:type="dxa" w:w="4680"/>
            <w:shd w:fill="F0F5F1"/>
            <w:tcMar>
              <w:top w:w="60" w:type="dxa"/>
              <w:bottom w:w="60" w:type="dxa"/>
              <w:left w:w="100" w:type="dxa"/>
              <w:right w:w="100" w:type="dxa"/>
            </w:tcMar>
          </w:tcPr>
          <w:p>
            <w:r>
              <w:rPr>
                <w:b/>
                <w:sz w:val="19"/>
              </w:rPr>
              <w:t>Version:</w:t>
            </w:r>
          </w:p>
        </w:tc>
        <w:tc>
          <w:tcPr>
            <w:tcW w:type="dxa" w:w="4680"/>
            <w:shd w:fill="FAFAFA"/>
            <w:tcMar>
              <w:top w:w="60" w:type="dxa"/>
              <w:bottom w:w="60" w:type="dxa"/>
              <w:left w:w="100" w:type="dxa"/>
              <w:right w:w="100" w:type="dxa"/>
            </w:tcMar>
          </w:tcPr>
          <w:p>
            <w:r>
              <w:rPr>
                <w:sz w:val="19"/>
              </w:rPr>
              <w:t>2.0 Architecture Upgrade Specification</w:t>
            </w:r>
          </w:p>
        </w:tc>
      </w:tr>
      <w:tr>
        <w:tc>
          <w:tcPr>
            <w:tcW w:type="dxa" w:w="4680"/>
            <w:shd w:fill="F0F5F1"/>
            <w:tcMar>
              <w:top w:w="60" w:type="dxa"/>
              <w:bottom w:w="60" w:type="dxa"/>
              <w:left w:w="100" w:type="dxa"/>
              <w:right w:w="100" w:type="dxa"/>
            </w:tcMar>
          </w:tcPr>
          <w:p>
            <w:r>
              <w:rPr>
                <w:b/>
                <w:sz w:val="19"/>
              </w:rPr>
              <w:t>Date:</w:t>
            </w:r>
          </w:p>
        </w:tc>
        <w:tc>
          <w:tcPr>
            <w:tcW w:type="dxa" w:w="4680"/>
            <w:shd w:fill="FAFAFA"/>
            <w:tcMar>
              <w:top w:w="60" w:type="dxa"/>
              <w:bottom w:w="60" w:type="dxa"/>
              <w:left w:w="100" w:type="dxa"/>
              <w:right w:w="100" w:type="dxa"/>
            </w:tcMar>
          </w:tcPr>
          <w:p>
            <w:r>
              <w:rPr>
                <w:sz w:val="19"/>
              </w:rPr>
              <w:t>October 2026</w:t>
            </w:r>
          </w:p>
        </w:tc>
      </w:tr>
      <w:tr>
        <w:tc>
          <w:tcPr>
            <w:tcW w:type="dxa" w:w="4680"/>
            <w:shd w:fill="F0F5F1"/>
            <w:tcMar>
              <w:top w:w="60" w:type="dxa"/>
              <w:bottom w:w="60" w:type="dxa"/>
              <w:left w:w="100" w:type="dxa"/>
              <w:right w:w="100" w:type="dxa"/>
            </w:tcMar>
          </w:tcPr>
          <w:p>
            <w:r>
              <w:rPr>
                <w:b/>
                <w:sz w:val="19"/>
              </w:rPr>
              <w:t>Scope:</w:t>
            </w:r>
          </w:p>
        </w:tc>
        <w:tc>
          <w:tcPr>
            <w:tcW w:type="dxa" w:w="4680"/>
            <w:shd w:fill="FAFAFA"/>
            <w:tcMar>
              <w:top w:w="60" w:type="dxa"/>
              <w:bottom w:w="60" w:type="dxa"/>
              <w:left w:w="100" w:type="dxa"/>
              <w:right w:w="100" w:type="dxa"/>
            </w:tcMar>
          </w:tcPr>
          <w:p>
            <w:r>
              <w:rPr>
                <w:sz w:val="19"/>
              </w:rPr>
              <w:t>AI Integration, Driver Fleet Logistics, Live GPS Tracking, Escrow Payments, Tools Store &amp; Heavy Machinery Rentals</w:t>
            </w:r>
          </w:p>
        </w:tc>
      </w:tr>
    </w:tbl>
    <w:p>
      <w:pPr>
        <w:spacing w:after="240"/>
      </w:pPr>
    </w:p>
    <w:p>
      <w:pPr>
        <w:pStyle w:val="Heading1"/>
        <w:spacing w:before="280" w:after="120"/>
      </w:pPr>
      <w:r>
        <w:rPr>
          <w:b/>
          <w:color w:val="184C2B"/>
          <w:sz w:val="36"/>
        </w:rPr>
        <w:t>1. Executive Summary</w:t>
      </w:r>
    </w:p>
    <w:p>
      <w:pPr>
        <w:spacing w:line="276" w:lineRule="auto"/>
      </w:pPr>
      <w:r>
        <w:t>This specification outlines the next-generation functional and technical enhancements for the Smart Farmer Platform. Expanding beyond APMC mandi slot booking, state godown storage, and GPS perimeter land surveying, these 6 core modules transform the ecosystem into a comprehensive, end-to-end global agricultural operating system connecting smallholders, fleet logistics, machinery owners, agro-dealers, and financial institutions.</w:t>
      </w:r>
    </w:p>
    <w:p>
      <w:pPr>
        <w:pStyle w:val="Heading1"/>
        <w:spacing w:before="280" w:after="120"/>
      </w:pPr>
      <w:r>
        <w:rPr>
          <w:b/>
          <w:color w:val="184C2B"/>
          <w:sz w:val="36"/>
        </w:rPr>
        <w:t>2. Feature 1: Advanced Multimodal AI Integration</w:t>
      </w:r>
    </w:p>
    <w:p>
      <w:r>
        <w:t>Smallholder farmers face severe crop losses due to delayed pest detection, volatile commodity swings, and poor advisory. The AI module integrates three production-ready artificial intelligence components:</w:t>
      </w:r>
    </w:p>
    <w:p>
      <w:pPr>
        <w:pStyle w:val="Heading2"/>
        <w:spacing w:before="280" w:after="120"/>
      </w:pPr>
      <w:r>
        <w:rPr>
          <w:b/>
          <w:color w:val="267344"/>
          <w:sz w:val="28"/>
        </w:rPr>
        <w:t>2.1 Multimodal Crop Doctor (Vision AI)</w:t>
      </w:r>
    </w:p>
    <w:p>
      <w:pPr>
        <w:spacing w:line="276" w:lineRule="auto"/>
      </w:pPr>
      <w:r>
        <w:t>Farmers capture smartphone photos of infected leaves, stems, or fruits. A Convolutional Neural Network (EfficientNet-V2 / ResNet50) fine-tuned on agricultural datasets classifies diseases (e.g., Cotton Bollworm, Groundnut Leaf Spot, Chilli Leaf Curl, Tomato Blight) with &gt;94% confidence, outputting symptoms, organic remedies, and authorized chemical fungicides/pesticides with precise spray dosages.</w:t>
      </w:r>
    </w:p>
    <w:p>
      <w:pPr>
        <w:pStyle w:val="Heading2"/>
        <w:spacing w:before="280" w:after="120"/>
      </w:pPr>
      <w:r>
        <w:rPr>
          <w:b/>
          <w:color w:val="267344"/>
          <w:sz w:val="28"/>
        </w:rPr>
        <w:t>2.2 Agronomic LLM Advisory &amp; Speech Bot</w:t>
      </w:r>
    </w:p>
    <w:p>
      <w:pPr>
        <w:spacing w:line="276" w:lineRule="auto"/>
      </w:pPr>
      <w:r>
        <w:t>A multilingual conversational agent (powered by fine-tuned Gemini / LLaMA-3 Agri models) answering voice queries in local languages. Farmers speak into their phone, and the system translates, queries regional agronomic knowledge graphs, and delivers actionable guidance on weather alerts, sowing schedules, and fertilizer split applications.</w:t>
      </w:r>
    </w:p>
    <w:p>
      <w:pPr>
        <w:pStyle w:val="Heading2"/>
        <w:spacing w:before="280" w:after="120"/>
      </w:pPr>
      <w:r>
        <w:rPr>
          <w:b/>
          <w:color w:val="267344"/>
          <w:sz w:val="28"/>
        </w:rPr>
        <w:t>2.3 Mandi Price &amp; Yield Prediction Engine</w:t>
      </w:r>
    </w:p>
    <w:p>
      <w:pPr>
        <w:spacing w:line="276" w:lineRule="auto"/>
      </w:pPr>
      <w:r>
        <w:t>Time-series predictive models (LSTM / Prophet / XGBoost) trained on historical APMC modal price arrivals across 500+ mandis. Predicts future prices for Groundnut, Chilli, Cotton, and Maize over 7, 14, and 30-day horizons, advising farmers whether to store in godowns or sell immediately in the market yard.</w:t>
      </w:r>
    </w:p>
    <w:p>
      <w:pPr>
        <w:pStyle w:val="Heading1"/>
        <w:spacing w:before="280" w:after="120"/>
      </w:pPr>
      <w:r>
        <w:rPr>
          <w:b/>
          <w:color w:val="184C2B"/>
          <w:sz w:val="36"/>
        </w:rPr>
        <w:t>3. Feature 2: Driver &amp; Agri-Logistics Fleet Registration</w:t>
      </w:r>
    </w:p>
    <w:p>
      <w:r>
        <w:t>Harvested produce frequently spoils due to lack of timely transport from farm gate to market yards or cold storages. The Driver Onboarding subsystem establishes a vetted, professional rural logistics fleet:</w:t>
      </w:r>
    </w:p>
    <w:p>
      <w:pPr>
        <w:pStyle w:val="Heading2"/>
        <w:spacing w:before="280" w:after="120"/>
      </w:pPr>
      <w:r>
        <w:rPr>
          <w:b/>
          <w:color w:val="267344"/>
          <w:sz w:val="28"/>
        </w:rPr>
        <w:t>3.1 Driver Profile &amp; KYC Verification</w:t>
      </w:r>
    </w:p>
    <w:p>
      <w:pPr>
        <w:spacing w:line="276" w:lineRule="auto"/>
      </w:pPr>
      <w:r>
        <w:t>Drivers register with their 10-digit mobile number, full name, national ID (Aadhaar), commercial driving license number, and photograph. The platform integrates automated validation services to verify license authenticity before status transitions to APPROVED.</w:t>
      </w:r>
    </w:p>
    <w:p>
      <w:pPr>
        <w:pStyle w:val="Heading2"/>
        <w:spacing w:before="280" w:after="120"/>
      </w:pPr>
      <w:r>
        <w:rPr>
          <w:b/>
          <w:color w:val="267344"/>
          <w:sz w:val="28"/>
        </w:rPr>
        <w:t>3.2 Vehicle Asset Telemetry &amp; Capacity Classification</w:t>
      </w:r>
    </w:p>
    <w:p>
      <w:pPr>
        <w:spacing w:line="276" w:lineRule="auto"/>
      </w:pPr>
      <w:r>
        <w:t xml:space="preserve">Drivers register one or multiple vehicles categorized into standardized agricultural tonnage tiers: </w:t>
        <w:br/>
        <w:t>• Tier 1: Mini Trucks / Three-Wheelers (0.5T to 1.5T) for small lots and local mandi runs.</w:t>
        <w:br/>
        <w:t>• Tier 2: Medium Commercial Vehicles (2.0T to 5.0T) for bulk bag transport.</w:t>
        <w:br/>
        <w:t>• Tier 3: Multi-Axle Heavy Trucks &amp; Tractor-Trailers (5.0T to 15.0T) for inter-district godown transit.</w:t>
        <w:br/>
        <w:t>Drivers record vehicle registration number (RC), payload dimensions, tarpaulin weather cover availability, and fitness certificate.</w:t>
      </w:r>
    </w:p>
    <w:p>
      <w:pPr>
        <w:pStyle w:val="Heading2"/>
        <w:spacing w:before="280" w:after="120"/>
      </w:pPr>
      <w:r>
        <w:rPr>
          <w:b/>
          <w:color w:val="267344"/>
          <w:sz w:val="28"/>
        </w:rPr>
        <w:t>3.3 Driver Dispatch State &amp; Availability Engine</w:t>
      </w:r>
    </w:p>
    <w:p>
      <w:pPr>
        <w:spacing w:line="276" w:lineRule="auto"/>
      </w:pPr>
      <w:r>
        <w:t>Drivers toggle their status between ONLINE (available for instant hauling assignments), BUSY (en route with an active load), and OFFLINE. The dispatch algorithm pairs nearby farmers needing transport with optimal empty vehicles to minimize deadhead miles.</w:t>
      </w:r>
    </w:p>
    <w:p>
      <w:pPr>
        <w:pStyle w:val="Heading1"/>
        <w:spacing w:before="280" w:after="120"/>
      </w:pPr>
      <w:r>
        <w:rPr>
          <w:b/>
          <w:color w:val="184C2B"/>
          <w:sz w:val="36"/>
        </w:rPr>
        <w:t>4. Feature 3: Real-Time Map Navigation &amp; Delivery Tracking</w:t>
      </w:r>
    </w:p>
    <w:p>
      <w:r>
        <w:t>To guarantee transit security, eliminate route diversion, and keep farmers informed, the tracking system provides end-to-end visibility from farm pickup to mandi scale weigh-in:</w:t>
      </w:r>
    </w:p>
    <w:p>
      <w:pPr>
        <w:pStyle w:val="Heading2"/>
        <w:spacing w:before="280" w:after="120"/>
      </w:pPr>
      <w:r>
        <w:rPr>
          <w:b/>
          <w:color w:val="267344"/>
          <w:sz w:val="28"/>
        </w:rPr>
        <w:t>4.1 Real-Time GPS Telemetry Streaming</w:t>
      </w:r>
    </w:p>
    <w:p>
      <w:pPr>
        <w:spacing w:line="276" w:lineRule="auto"/>
      </w:pPr>
      <w:r>
        <w:t>Driver mobile clients push geographic latitude/longitude coordinates, speed, and heading over secure WebSockets or HTTP pings every 5 to 10 seconds. Telemetry is persisted in MongoDB spatial collections with GeoJSON indexes.</w:t>
      </w:r>
    </w:p>
    <w:p>
      <w:pPr>
        <w:pStyle w:val="Heading2"/>
        <w:spacing w:before="280" w:after="120"/>
      </w:pPr>
      <w:r>
        <w:rPr>
          <w:b/>
          <w:color w:val="267344"/>
          <w:sz w:val="28"/>
        </w:rPr>
        <w:t>4.2 Interactive Live Tracking Map for Farmers &amp; Buyers</w:t>
      </w:r>
    </w:p>
    <w:p>
      <w:pPr>
        <w:spacing w:line="276" w:lineRule="auto"/>
      </w:pPr>
      <w:r>
        <w:t xml:space="preserve">Farmers and APMC staff open an interactive Leaflet/Mapbox vector map showing: </w:t>
        <w:br/>
        <w:t>• Farm Origin marker, current vehicle location with animated truck icon, and destination Mandi/Godown gate.</w:t>
        <w:br/>
        <w:t>• Polyline route preview showing traversed path and remaining optimal route.</w:t>
        <w:br/>
        <w:t>• Dynamic ETA (Estimated Time of Arrival) based on real-time traffic and road elevation.</w:t>
      </w:r>
    </w:p>
    <w:p>
      <w:pPr>
        <w:pStyle w:val="Heading2"/>
        <w:spacing w:before="280" w:after="120"/>
      </w:pPr>
      <w:r>
        <w:rPr>
          <w:b/>
          <w:color w:val="267344"/>
          <w:sz w:val="28"/>
        </w:rPr>
        <w:t>4.3 Geofencing &amp; Automated Gate Check-in</w:t>
      </w:r>
    </w:p>
    <w:p>
      <w:pPr>
        <w:spacing w:line="276" w:lineRule="auto"/>
      </w:pPr>
      <w:r>
        <w:t>Polygonal geofences defined around APMC yards and godowns automatically trigger arrival notifications when the vehicle crosses the 500-meter radius, preparing gate staff with pre-weighed tare tickets and bay assignment.</w:t>
      </w:r>
    </w:p>
    <w:p>
      <w:pPr>
        <w:pStyle w:val="Heading2"/>
        <w:spacing w:before="280" w:after="120"/>
      </w:pPr>
      <w:r>
        <w:rPr>
          <w:b/>
          <w:color w:val="267344"/>
          <w:sz w:val="28"/>
        </w:rPr>
        <w:t>4.4 Electronic Proof of Delivery (e-POD)</w:t>
      </w:r>
    </w:p>
    <w:p>
      <w:pPr>
        <w:spacing w:line="276" w:lineRule="auto"/>
      </w:pPr>
      <w:r>
        <w:t>Upon arrival, gate staff or warehouse operators scan the transit QR code. A 6-digit confirmation OTP is verified with the driver, generating a digital timestamped bill of lading signed by both parties.</w:t>
      </w:r>
    </w:p>
    <w:p>
      <w:pPr>
        <w:pStyle w:val="Heading1"/>
        <w:spacing w:before="280" w:after="120"/>
      </w:pPr>
      <w:r>
        <w:rPr>
          <w:b/>
          <w:color w:val="184C2B"/>
          <w:sz w:val="36"/>
        </w:rPr>
        <w:t>5. Feature 4: Unified Digital Payments &amp; Escrow Settlement</w:t>
      </w:r>
    </w:p>
    <w:p>
      <w:r>
        <w:t>Traditional agricultural commerce is plagued by delayed cash payouts, commission agent exploitation, and non-payment defaults. The digital payment gateway ensures institutional financial security:</w:t>
      </w:r>
    </w:p>
    <w:p>
      <w:pPr>
        <w:pStyle w:val="Heading2"/>
        <w:spacing w:before="280" w:after="120"/>
      </w:pPr>
      <w:r>
        <w:rPr>
          <w:b/>
          <w:color w:val="267344"/>
          <w:sz w:val="28"/>
        </w:rPr>
        <w:t>5.1 Multi-Rail Payment Gateway Integration</w:t>
      </w:r>
    </w:p>
    <w:p>
      <w:pPr>
        <w:spacing w:line="276" w:lineRule="auto"/>
      </w:pPr>
      <w:r>
        <w:t>Supports instant digital payment methods: UPI (Google Pay, PhonePe, Paytm), Dynamic BharatQR, NetBanking across all major nationalized banks, Debit/Credit Cards, and National Electronic Funds Transfer (NEFT/RTGS).</w:t>
      </w:r>
    </w:p>
    <w:p>
      <w:pPr>
        <w:pStyle w:val="Heading2"/>
        <w:spacing w:before="280" w:after="120"/>
      </w:pPr>
      <w:r>
        <w:rPr>
          <w:b/>
          <w:color w:val="267344"/>
          <w:sz w:val="28"/>
        </w:rPr>
        <w:t>5.2 Smart Escrow Holding Mechanism</w:t>
      </w:r>
    </w:p>
    <w:p>
      <w:pPr>
        <w:spacing w:line="276" w:lineRule="auto"/>
      </w:pPr>
      <w:r>
        <w:t>When a buyer bids and purchases crop produce or orders agricultural equipment, funds are charged immediately and placed into an escrow wallet. Funds remain locked until the receiving party confirms goods inspection and grade conformity at the APMC gate or warehouse bay.</w:t>
      </w:r>
    </w:p>
    <w:p>
      <w:pPr>
        <w:pStyle w:val="Heading2"/>
        <w:spacing w:before="280" w:after="120"/>
      </w:pPr>
      <w:r>
        <w:rPr>
          <w:b/>
          <w:color w:val="267344"/>
          <w:sz w:val="28"/>
        </w:rPr>
        <w:t>5.3 Automated APMC Cess &amp; Commission Splitting</w:t>
      </w:r>
    </w:p>
    <w:p>
      <w:pPr>
        <w:spacing w:line="276" w:lineRule="auto"/>
      </w:pPr>
      <w:r>
        <w:t xml:space="preserve">The smart contract / payment router automatically calculates and deducts regulatory deductions at the point of sale: </w:t>
        <w:br/>
        <w:t>• APMC Market Yard Cess (e.g., 1.0% statutory market development fee directly remitted to state board).</w:t>
        <w:br/>
        <w:t>• Logistics Fee directly credited to the driver wallet upon verified drop-off.</w:t>
        <w:br/>
        <w:t>• Net settlement instantly disbursed directly to the farmer's bank account via IMPS/UPI without intermediary skimming.</w:t>
      </w:r>
    </w:p>
    <w:p>
      <w:pPr>
        <w:pStyle w:val="Heading2"/>
        <w:spacing w:before="280" w:after="120"/>
      </w:pPr>
      <w:r>
        <w:rPr>
          <w:b/>
          <w:color w:val="267344"/>
          <w:sz w:val="28"/>
        </w:rPr>
        <w:t>5.4 Digital GST Invoicing &amp; Financial Audit Ledger</w:t>
      </w:r>
    </w:p>
    <w:p>
      <w:pPr>
        <w:spacing w:line="276" w:lineRule="auto"/>
      </w:pPr>
      <w:r>
        <w:t>Generates compliant GST tax invoices, farmer settlement receipts, and audit ledgers exportable in PDF and Excel formats.</w:t>
      </w:r>
    </w:p>
    <w:p>
      <w:pPr>
        <w:pStyle w:val="Heading1"/>
        <w:spacing w:before="280" w:after="120"/>
      </w:pPr>
      <w:r>
        <w:rPr>
          <w:b/>
          <w:color w:val="184C2B"/>
          <w:sz w:val="36"/>
        </w:rPr>
        <w:t>6. Feature 5: Agricultural Tools &amp; Input E-Commerce Market</w:t>
      </w:r>
    </w:p>
    <w:p>
      <w:r>
        <w:t>Smallholders struggle to access authentic, certified agricultural hardware and organic inputs at transparent prices. The Tools Marketplace functions as a verified marketplace:</w:t>
      </w:r>
    </w:p>
    <w:p>
      <w:pPr>
        <w:pStyle w:val="Heading2"/>
        <w:spacing w:before="280" w:after="120"/>
      </w:pPr>
      <w:r>
        <w:rPr>
          <w:b/>
          <w:color w:val="267344"/>
          <w:sz w:val="28"/>
        </w:rPr>
        <w:t>6.1 Verified Merchant &amp; Dealer Catalog</w:t>
      </w:r>
    </w:p>
    <w:p>
      <w:pPr>
        <w:spacing w:line="276" w:lineRule="auto"/>
      </w:pPr>
      <w:r>
        <w:t xml:space="preserve">Certified equipment manufacturers and input dealers list catalog items across categories: </w:t>
        <w:br/>
        <w:t>• Power Equipment: Battery sprayers, brush cutters, mini tillers, chain saws, water pumps.</w:t>
        <w:br/>
        <w:t>• Irrigation &amp; Solar: Drip lines, sprinkler nozzles, solar water pumps, micro-filtration units.</w:t>
        <w:br/>
        <w:t>• Certified Consumables: High-yield certified seeds, bio-fertilizers, micronutrient sprays, pheromone traps.</w:t>
      </w:r>
    </w:p>
    <w:p>
      <w:pPr>
        <w:pStyle w:val="Heading2"/>
        <w:spacing w:before="280" w:after="120"/>
      </w:pPr>
      <w:r>
        <w:rPr>
          <w:b/>
          <w:color w:val="267344"/>
          <w:sz w:val="28"/>
        </w:rPr>
        <w:t>6.2 Detailed Specifications &amp; Agronomic Fit</w:t>
      </w:r>
    </w:p>
    <w:p>
      <w:pPr>
        <w:spacing w:line="276" w:lineRule="auto"/>
      </w:pPr>
      <w:r>
        <w:t>Each product listing provides technical power ratings, warranty duration, manufacturer service centers, and compatibility recommendations tailored to the farmer's surveyed land area (e.g. 'Recommended for 2 to 5 Acre Groundnut fields').</w:t>
      </w:r>
    </w:p>
    <w:p>
      <w:pPr>
        <w:pStyle w:val="Heading2"/>
        <w:spacing w:before="280" w:after="120"/>
      </w:pPr>
      <w:r>
        <w:rPr>
          <w:b/>
          <w:color w:val="267344"/>
          <w:sz w:val="28"/>
        </w:rPr>
        <w:t>6.3 Direct Ordering &amp; Doorstep Delivery Dispatch</w:t>
      </w:r>
    </w:p>
    <w:p>
      <w:pPr>
        <w:spacing w:line="276" w:lineRule="auto"/>
      </w:pPr>
      <w:r>
        <w:t>Farmers order directly with clear delivery dates, tracking via the integrated logistics fleet, and manufacturer warranty certificates.</w:t>
      </w:r>
    </w:p>
    <w:p>
      <w:pPr>
        <w:pStyle w:val="Heading1"/>
        <w:spacing w:before="280" w:after="120"/>
      </w:pPr>
      <w:r>
        <w:rPr>
          <w:b/>
          <w:color w:val="184C2B"/>
          <w:sz w:val="36"/>
        </w:rPr>
        <w:t>7. Feature 6: Farm Equipment &amp; Heavy Machinery Rental Marketplace</w:t>
      </w:r>
    </w:p>
    <w:p>
      <w:r>
        <w:t>Purchasing heavy machinery (tractors, harvesters) is financially impossible for smallholders (average holding &lt; 2 hectares). The Peer-to-Peer &amp; Custom Hiring Centre (CHC) rental engine democratizes mechanization:</w:t>
      </w:r>
    </w:p>
    <w:p>
      <w:pPr>
        <w:pStyle w:val="Heading2"/>
        <w:spacing w:before="280" w:after="120"/>
      </w:pPr>
      <w:r>
        <w:rPr>
          <w:b/>
          <w:color w:val="267344"/>
          <w:sz w:val="28"/>
        </w:rPr>
        <w:t>7.1 Equipment Listing &amp; Availability Scheduling</w:t>
      </w:r>
    </w:p>
    <w:p>
      <w:pPr>
        <w:spacing w:line="276" w:lineRule="auto"/>
      </w:pPr>
      <w:r>
        <w:t xml:space="preserve">Machinery owners (progressive farmers, cooperatives, equipment rental providers) list available assets: </w:t>
        <w:br/>
        <w:t>• Tractors (40HP to 75HP) with rotavators, disc harrows, seed drills, and plows.</w:t>
        <w:br/>
        <w:t>• Combined Harvesters (Paddy, Maize, Soybean) and Threshers.</w:t>
        <w:br/>
        <w:t>• Drone Sprayers (10L / 16L precision spraying rigs with certified pilots).</w:t>
        <w:br/>
        <w:t>• Laser Land Levelers and Sub-soilers.</w:t>
      </w:r>
    </w:p>
    <w:p>
      <w:pPr>
        <w:pStyle w:val="Heading2"/>
        <w:spacing w:before="280" w:after="120"/>
      </w:pPr>
      <w:r>
        <w:rPr>
          <w:b/>
          <w:color w:val="267344"/>
          <w:sz w:val="28"/>
        </w:rPr>
        <w:t>7.2 Transparent Rental Pricing Models</w:t>
      </w:r>
    </w:p>
    <w:p>
      <w:pPr>
        <w:spacing w:line="276" w:lineRule="auto"/>
      </w:pPr>
      <w:r>
        <w:t xml:space="preserve">Supports flexible booking models: </w:t>
        <w:br/>
        <w:t>• Hourly Rate (e.g., ₹900/hour for tractor ploughing including diesel).</w:t>
        <w:br/>
        <w:t>• Per-Acre Rate (e.g., ₹1,800/acre for combined paddy harvesting).</w:t>
        <w:br/>
        <w:t>• Multi-Day Rental for seasonal leasing.</w:t>
      </w:r>
    </w:p>
    <w:p>
      <w:pPr>
        <w:pStyle w:val="Heading2"/>
        <w:spacing w:before="280" w:after="120"/>
      </w:pPr>
      <w:r>
        <w:rPr>
          <w:b/>
          <w:color w:val="267344"/>
          <w:sz w:val="28"/>
        </w:rPr>
        <w:t>7.3 Booking Calendar &amp; Operator Option</w:t>
      </w:r>
    </w:p>
    <w:p>
      <w:pPr>
        <w:spacing w:line="276" w:lineRule="auto"/>
      </w:pPr>
      <w:r>
        <w:t>Farmers book specific date and time windows. Renters select whether they need an experienced certified operator included or dry machine lease.</w:t>
      </w:r>
    </w:p>
    <w:p>
      <w:pPr>
        <w:pStyle w:val="Heading2"/>
        <w:spacing w:before="280" w:after="120"/>
      </w:pPr>
      <w:r>
        <w:rPr>
          <w:b/>
          <w:color w:val="267344"/>
          <w:sz w:val="28"/>
        </w:rPr>
        <w:t>7.4 Security Deposit Escrow &amp; Pre/Post Condition Inspections</w:t>
      </w:r>
    </w:p>
    <w:p>
      <w:pPr>
        <w:spacing w:line="276" w:lineRule="auto"/>
      </w:pPr>
      <w:r>
        <w:t>Includes security deposit escrow holding, mandatory timestamped photos of vehicle meters and tires before handover, and digital return inspection checklists to protect both machine owners and renting farmers.</w:t>
      </w:r>
    </w:p>
    <w:p>
      <w:pPr>
        <w:pStyle w:val="Heading1"/>
        <w:spacing w:before="280" w:after="120"/>
      </w:pPr>
      <w:r>
        <w:rPr>
          <w:b/>
          <w:color w:val="184C2B"/>
          <w:sz w:val="36"/>
        </w:rPr>
        <w:t>8. System Architecture &amp; Database Schema</w:t>
      </w:r>
    </w:p>
    <w:p>
      <w:r>
        <w:t>All 6 features integrate directly into the existing FastAPI backend and React frontend via modular micro-routers and MongoDB Atlas collections:</w:t>
      </w:r>
    </w:p>
    <w:tbl>
      <w:tblPr>
        <w:tblW w:type="auto" w:w="0"/>
        <w:jc w:val="center"/>
        <w:tblLook w:firstColumn="1" w:firstRow="1" w:lastColumn="0" w:lastRow="0" w:noHBand="0" w:noVBand="1" w:val="04A0"/>
      </w:tblPr>
      <w:tblGrid>
        <w:gridCol w:w="3120"/>
        <w:gridCol w:w="3120"/>
        <w:gridCol w:w="3120"/>
      </w:tblGrid>
      <w:tr>
        <w:tc>
          <w:tcPr>
            <w:tcW w:type="dxa" w:w="3120"/>
            <w:shd w:fill="184C2B"/>
            <w:tcMar>
              <w:top w:w="80" w:type="dxa"/>
              <w:bottom w:w="80" w:type="dxa"/>
              <w:left w:w="100" w:type="dxa"/>
              <w:right w:w="100" w:type="dxa"/>
            </w:tcMar>
          </w:tcPr>
          <w:p>
            <w:r>
              <w:rPr>
                <w:b/>
                <w:color w:val="FFFFFF"/>
              </w:rPr>
              <w:t>Feature</w:t>
            </w:r>
          </w:p>
        </w:tc>
        <w:tc>
          <w:tcPr>
            <w:tcW w:type="dxa" w:w="3120"/>
            <w:shd w:fill="184C2B"/>
            <w:tcMar>
              <w:top w:w="80" w:type="dxa"/>
              <w:bottom w:w="80" w:type="dxa"/>
              <w:left w:w="100" w:type="dxa"/>
              <w:right w:w="100" w:type="dxa"/>
            </w:tcMar>
          </w:tcPr>
          <w:p>
            <w:r>
              <w:rPr>
                <w:b/>
                <w:color w:val="FFFFFF"/>
              </w:rPr>
              <w:t>MongoDB Collection</w:t>
            </w:r>
          </w:p>
        </w:tc>
        <w:tc>
          <w:tcPr>
            <w:tcW w:type="dxa" w:w="3120"/>
            <w:shd w:fill="184C2B"/>
            <w:tcMar>
              <w:top w:w="80" w:type="dxa"/>
              <w:bottom w:w="80" w:type="dxa"/>
              <w:left w:w="100" w:type="dxa"/>
              <w:right w:w="100" w:type="dxa"/>
            </w:tcMar>
          </w:tcPr>
          <w:p>
            <w:r>
              <w:rPr>
                <w:b/>
                <w:color w:val="FFFFFF"/>
              </w:rPr>
              <w:t>Primary Fields &amp; Indexes</w:t>
            </w:r>
          </w:p>
        </w:tc>
      </w:tr>
      <w:tr>
        <w:tc>
          <w:tcPr>
            <w:tcW w:type="dxa" w:w="3120"/>
            <w:shd w:fill="F9FBF9"/>
            <w:tcMar>
              <w:top w:w="60" w:type="dxa"/>
              <w:bottom w:w="60" w:type="dxa"/>
              <w:left w:w="80" w:type="dxa"/>
              <w:right w:w="80" w:type="dxa"/>
            </w:tcMar>
          </w:tcPr>
          <w:p>
            <w:r>
              <w:rPr>
                <w:b/>
                <w:sz w:val="17"/>
              </w:rPr>
              <w:t>AI Diagnostics</w:t>
            </w:r>
          </w:p>
        </w:tc>
        <w:tc>
          <w:tcPr>
            <w:tcW w:type="dxa" w:w="3120"/>
            <w:shd w:fill="F9FBF9"/>
            <w:tcMar>
              <w:top w:w="60" w:type="dxa"/>
              <w:bottom w:w="60" w:type="dxa"/>
              <w:left w:w="80" w:type="dxa"/>
              <w:right w:w="80" w:type="dxa"/>
            </w:tcMar>
          </w:tcPr>
          <w:p>
            <w:r>
              <w:rPr>
                <w:sz w:val="17"/>
              </w:rPr>
              <w:t>crop_diagnoses</w:t>
            </w:r>
          </w:p>
        </w:tc>
        <w:tc>
          <w:tcPr>
            <w:tcW w:type="dxa" w:w="3120"/>
            <w:shd w:fill="F9FBF9"/>
            <w:tcMar>
              <w:top w:w="60" w:type="dxa"/>
              <w:bottom w:w="60" w:type="dxa"/>
              <w:left w:w="80" w:type="dxa"/>
              <w:right w:w="80" w:type="dxa"/>
            </w:tcMar>
          </w:tcPr>
          <w:p>
            <w:r>
              <w:rPr>
                <w:sz w:val="17"/>
              </w:rPr>
              <w:t>id, farmerId, cropName, imageUrl, diseaseDetected, confidenceScore, organicRemedy, chemicalTreatment, timestamp</w:t>
            </w:r>
          </w:p>
        </w:tc>
      </w:tr>
      <w:tr>
        <w:tc>
          <w:tcPr>
            <w:tcW w:type="dxa" w:w="3120"/>
            <w:shd w:fill="FFFFFF"/>
            <w:tcMar>
              <w:top w:w="60" w:type="dxa"/>
              <w:bottom w:w="60" w:type="dxa"/>
              <w:left w:w="80" w:type="dxa"/>
              <w:right w:w="80" w:type="dxa"/>
            </w:tcMar>
          </w:tcPr>
          <w:p>
            <w:r>
              <w:rPr>
                <w:b/>
                <w:sz w:val="17"/>
              </w:rPr>
              <w:t>Driver Registration</w:t>
            </w:r>
          </w:p>
        </w:tc>
        <w:tc>
          <w:tcPr>
            <w:tcW w:type="dxa" w:w="3120"/>
            <w:shd w:fill="FFFFFF"/>
            <w:tcMar>
              <w:top w:w="60" w:type="dxa"/>
              <w:bottom w:w="60" w:type="dxa"/>
              <w:left w:w="80" w:type="dxa"/>
              <w:right w:w="80" w:type="dxa"/>
            </w:tcMar>
          </w:tcPr>
          <w:p>
            <w:r>
              <w:rPr>
                <w:sz w:val="17"/>
              </w:rPr>
              <w:t>logistics_drivers</w:t>
            </w:r>
          </w:p>
        </w:tc>
        <w:tc>
          <w:tcPr>
            <w:tcW w:type="dxa" w:w="3120"/>
            <w:shd w:fill="FFFFFF"/>
            <w:tcMar>
              <w:top w:w="60" w:type="dxa"/>
              <w:bottom w:w="60" w:type="dxa"/>
              <w:left w:w="80" w:type="dxa"/>
              <w:right w:w="80" w:type="dxa"/>
            </w:tcMar>
          </w:tcPr>
          <w:p>
            <w:r>
              <w:rPr>
                <w:sz w:val="17"/>
              </w:rPr>
              <w:t>id, userId, phone, licenseNumber, vehicleTier, vehicleNumber, payloadKg, kycStatus, isOnline, currentCoordinates</w:t>
            </w:r>
          </w:p>
        </w:tc>
      </w:tr>
      <w:tr>
        <w:tc>
          <w:tcPr>
            <w:tcW w:type="dxa" w:w="3120"/>
            <w:shd w:fill="F9FBF9"/>
            <w:tcMar>
              <w:top w:w="60" w:type="dxa"/>
              <w:bottom w:w="60" w:type="dxa"/>
              <w:left w:w="80" w:type="dxa"/>
              <w:right w:w="80" w:type="dxa"/>
            </w:tcMar>
          </w:tcPr>
          <w:p>
            <w:r>
              <w:rPr>
                <w:b/>
                <w:sz w:val="17"/>
              </w:rPr>
              <w:t>Delivery Tracking</w:t>
            </w:r>
          </w:p>
        </w:tc>
        <w:tc>
          <w:tcPr>
            <w:tcW w:type="dxa" w:w="3120"/>
            <w:shd w:fill="F9FBF9"/>
            <w:tcMar>
              <w:top w:w="60" w:type="dxa"/>
              <w:bottom w:w="60" w:type="dxa"/>
              <w:left w:w="80" w:type="dxa"/>
              <w:right w:w="80" w:type="dxa"/>
            </w:tcMar>
          </w:tcPr>
          <w:p>
            <w:r>
              <w:rPr>
                <w:sz w:val="17"/>
              </w:rPr>
              <w:t>delivery_trips</w:t>
            </w:r>
          </w:p>
        </w:tc>
        <w:tc>
          <w:tcPr>
            <w:tcW w:type="dxa" w:w="3120"/>
            <w:shd w:fill="F9FBF9"/>
            <w:tcMar>
              <w:top w:w="60" w:type="dxa"/>
              <w:bottom w:w="60" w:type="dxa"/>
              <w:left w:w="80" w:type="dxa"/>
              <w:right w:w="80" w:type="dxa"/>
            </w:tcMar>
          </w:tcPr>
          <w:p>
            <w:r>
              <w:rPr>
                <w:sz w:val="17"/>
              </w:rPr>
              <w:t>id, bookingId, driverId, farmerId, originGeo, destinationGeo, routePolyline, status, telemetryHistory, podOtp</w:t>
            </w:r>
          </w:p>
        </w:tc>
      </w:tr>
      <w:tr>
        <w:tc>
          <w:tcPr>
            <w:tcW w:type="dxa" w:w="3120"/>
            <w:shd w:fill="FFFFFF"/>
            <w:tcMar>
              <w:top w:w="60" w:type="dxa"/>
              <w:bottom w:w="60" w:type="dxa"/>
              <w:left w:w="80" w:type="dxa"/>
              <w:right w:w="80" w:type="dxa"/>
            </w:tcMar>
          </w:tcPr>
          <w:p>
            <w:r>
              <w:rPr>
                <w:b/>
                <w:sz w:val="17"/>
              </w:rPr>
              <w:t>Payments &amp; Escrow</w:t>
            </w:r>
          </w:p>
        </w:tc>
        <w:tc>
          <w:tcPr>
            <w:tcW w:type="dxa" w:w="3120"/>
            <w:shd w:fill="FFFFFF"/>
            <w:tcMar>
              <w:top w:w="60" w:type="dxa"/>
              <w:bottom w:w="60" w:type="dxa"/>
              <w:left w:w="80" w:type="dxa"/>
              <w:right w:w="80" w:type="dxa"/>
            </w:tcMar>
          </w:tcPr>
          <w:p>
            <w:r>
              <w:rPr>
                <w:sz w:val="17"/>
              </w:rPr>
              <w:t>financial_transactions</w:t>
            </w:r>
          </w:p>
        </w:tc>
        <w:tc>
          <w:tcPr>
            <w:tcW w:type="dxa" w:w="3120"/>
            <w:shd w:fill="FFFFFF"/>
            <w:tcMar>
              <w:top w:w="60" w:type="dxa"/>
              <w:bottom w:w="60" w:type="dxa"/>
              <w:left w:w="80" w:type="dxa"/>
              <w:right w:w="80" w:type="dxa"/>
            </w:tcMar>
          </w:tcPr>
          <w:p>
            <w:r>
              <w:rPr>
                <w:sz w:val="17"/>
              </w:rPr>
              <w:t>id, orderId, payerId, payeeId, grossAmount, cessAmount, netAmount, paymentMethod, escrowState, gatewayRef, timestamp</w:t>
            </w:r>
          </w:p>
        </w:tc>
      </w:tr>
      <w:tr>
        <w:tc>
          <w:tcPr>
            <w:tcW w:type="dxa" w:w="3120"/>
            <w:shd w:fill="F9FBF9"/>
            <w:tcMar>
              <w:top w:w="60" w:type="dxa"/>
              <w:bottom w:w="60" w:type="dxa"/>
              <w:left w:w="80" w:type="dxa"/>
              <w:right w:w="80" w:type="dxa"/>
            </w:tcMar>
          </w:tcPr>
          <w:p>
            <w:r>
              <w:rPr>
                <w:b/>
                <w:sz w:val="17"/>
              </w:rPr>
              <w:t>Tools Market</w:t>
            </w:r>
          </w:p>
        </w:tc>
        <w:tc>
          <w:tcPr>
            <w:tcW w:type="dxa" w:w="3120"/>
            <w:shd w:fill="F9FBF9"/>
            <w:tcMar>
              <w:top w:w="60" w:type="dxa"/>
              <w:bottom w:w="60" w:type="dxa"/>
              <w:left w:w="80" w:type="dxa"/>
              <w:right w:w="80" w:type="dxa"/>
            </w:tcMar>
          </w:tcPr>
          <w:p>
            <w:r>
              <w:rPr>
                <w:sz w:val="17"/>
              </w:rPr>
              <w:t>agri_tools_catalog</w:t>
            </w:r>
          </w:p>
        </w:tc>
        <w:tc>
          <w:tcPr>
            <w:tcW w:type="dxa" w:w="3120"/>
            <w:shd w:fill="F9FBF9"/>
            <w:tcMar>
              <w:top w:w="60" w:type="dxa"/>
              <w:bottom w:w="60" w:type="dxa"/>
              <w:left w:w="80" w:type="dxa"/>
              <w:right w:w="80" w:type="dxa"/>
            </w:tcMar>
          </w:tcPr>
          <w:p>
            <w:r>
              <w:rPr>
                <w:sz w:val="17"/>
              </w:rPr>
              <w:t>id, sellerId, title, category, price, stockQuantity, specifications, powerSource, warrantyMonths, ratingsAverage</w:t>
            </w:r>
          </w:p>
        </w:tc>
      </w:tr>
      <w:tr>
        <w:tc>
          <w:tcPr>
            <w:tcW w:type="dxa" w:w="3120"/>
            <w:shd w:fill="FFFFFF"/>
            <w:tcMar>
              <w:top w:w="60" w:type="dxa"/>
              <w:bottom w:w="60" w:type="dxa"/>
              <w:left w:w="80" w:type="dxa"/>
              <w:right w:w="80" w:type="dxa"/>
            </w:tcMar>
          </w:tcPr>
          <w:p>
            <w:r>
              <w:rPr>
                <w:b/>
                <w:sz w:val="17"/>
              </w:rPr>
              <w:t>Machinery Rentals</w:t>
            </w:r>
          </w:p>
        </w:tc>
        <w:tc>
          <w:tcPr>
            <w:tcW w:type="dxa" w:w="3120"/>
            <w:shd w:fill="FFFFFF"/>
            <w:tcMar>
              <w:top w:w="60" w:type="dxa"/>
              <w:bottom w:w="60" w:type="dxa"/>
              <w:left w:w="80" w:type="dxa"/>
              <w:right w:w="80" w:type="dxa"/>
            </w:tcMar>
          </w:tcPr>
          <w:p>
            <w:r>
              <w:rPr>
                <w:sz w:val="17"/>
              </w:rPr>
              <w:t>machinery_rentals</w:t>
            </w:r>
          </w:p>
        </w:tc>
        <w:tc>
          <w:tcPr>
            <w:tcW w:type="dxa" w:w="3120"/>
            <w:shd w:fill="FFFFFF"/>
            <w:tcMar>
              <w:top w:w="60" w:type="dxa"/>
              <w:bottom w:w="60" w:type="dxa"/>
              <w:left w:w="80" w:type="dxa"/>
              <w:right w:w="80" w:type="dxa"/>
            </w:tcMar>
          </w:tcPr>
          <w:p>
            <w:r>
              <w:rPr>
                <w:sz w:val="17"/>
              </w:rPr>
              <w:t>id, ownerId, equipmentType, modelName, hourlyRate, perAcreRate, withOperator, availabilityCalendar, activeBookings</w:t>
            </w:r>
          </w:p>
        </w:tc>
      </w:tr>
    </w:tbl>
    <w:p>
      <w:pPr>
        <w:pStyle w:val="Heading1"/>
        <w:spacing w:before="280" w:after="120"/>
      </w:pPr>
      <w:r>
        <w:rPr>
          <w:b/>
          <w:color w:val="184C2B"/>
          <w:sz w:val="36"/>
        </w:rPr>
        <w:t>9. Implementation Roadmap &amp; Timeline</w:t>
      </w:r>
    </w:p>
    <w:p>
      <w:r>
        <w:t>The 6 features are scheduled across a 4-sprint agile delivery schedule:</w:t>
      </w:r>
    </w:p>
    <w:tbl>
      <w:tblPr>
        <w:tblW w:type="auto" w:w="0"/>
        <w:jc w:val="center"/>
        <w:tblLook w:firstColumn="1" w:firstRow="1" w:lastColumn="0" w:lastRow="0" w:noHBand="0" w:noVBand="1" w:val="04A0"/>
      </w:tblPr>
      <w:tblGrid>
        <w:gridCol w:w="3120"/>
        <w:gridCol w:w="3120"/>
        <w:gridCol w:w="3120"/>
      </w:tblGrid>
      <w:tr>
        <w:tc>
          <w:tcPr>
            <w:tcW w:type="dxa" w:w="3120"/>
            <w:shd w:fill="184C2B"/>
            <w:tcMar>
              <w:top w:w="80" w:type="dxa"/>
              <w:bottom w:w="80" w:type="dxa"/>
              <w:left w:w="100" w:type="dxa"/>
              <w:right w:w="100" w:type="dxa"/>
            </w:tcMar>
          </w:tcPr>
          <w:p>
            <w:r>
              <w:rPr>
                <w:b/>
                <w:color w:val="FFFFFF"/>
              </w:rPr>
              <w:t>Phase / Sprint</w:t>
            </w:r>
          </w:p>
        </w:tc>
        <w:tc>
          <w:tcPr>
            <w:tcW w:type="dxa" w:w="3120"/>
            <w:shd w:fill="184C2B"/>
            <w:tcMar>
              <w:top w:w="80" w:type="dxa"/>
              <w:bottom w:w="80" w:type="dxa"/>
              <w:left w:w="100" w:type="dxa"/>
              <w:right w:w="100" w:type="dxa"/>
            </w:tcMar>
          </w:tcPr>
          <w:p>
            <w:r>
              <w:rPr>
                <w:b/>
                <w:color w:val="FFFFFF"/>
              </w:rPr>
              <w:t>Duration</w:t>
            </w:r>
          </w:p>
        </w:tc>
        <w:tc>
          <w:tcPr>
            <w:tcW w:type="dxa" w:w="3120"/>
            <w:shd w:fill="184C2B"/>
            <w:tcMar>
              <w:top w:w="80" w:type="dxa"/>
              <w:bottom w:w="80" w:type="dxa"/>
              <w:left w:w="100" w:type="dxa"/>
              <w:right w:w="100" w:type="dxa"/>
            </w:tcMar>
          </w:tcPr>
          <w:p>
            <w:r>
              <w:rPr>
                <w:b/>
                <w:color w:val="FFFFFF"/>
              </w:rPr>
              <w:t>Key Deliverables</w:t>
            </w:r>
          </w:p>
        </w:tc>
      </w:tr>
      <w:tr>
        <w:tc>
          <w:tcPr>
            <w:tcW w:type="dxa" w:w="3120"/>
            <w:shd w:fill="F9FBF9"/>
            <w:tcMar>
              <w:top w:w="60" w:type="dxa"/>
              <w:bottom w:w="60" w:type="dxa"/>
              <w:left w:w="80" w:type="dxa"/>
              <w:right w:w="80" w:type="dxa"/>
            </w:tcMar>
          </w:tcPr>
          <w:p>
            <w:r>
              <w:rPr>
                <w:b/>
                <w:sz w:val="17"/>
              </w:rPr>
              <w:t>Phase 1: AI Diagnostics &amp; Price Forecast</w:t>
            </w:r>
          </w:p>
        </w:tc>
        <w:tc>
          <w:tcPr>
            <w:tcW w:type="dxa" w:w="3120"/>
            <w:shd w:fill="F9FBF9"/>
            <w:tcMar>
              <w:top w:w="60" w:type="dxa"/>
              <w:bottom w:w="60" w:type="dxa"/>
              <w:left w:w="80" w:type="dxa"/>
              <w:right w:w="80" w:type="dxa"/>
            </w:tcMar>
          </w:tcPr>
          <w:p>
            <w:r>
              <w:rPr>
                <w:sz w:val="17"/>
              </w:rPr>
              <w:t>Weeks 1 - 3</w:t>
            </w:r>
          </w:p>
        </w:tc>
        <w:tc>
          <w:tcPr>
            <w:tcW w:type="dxa" w:w="3120"/>
            <w:shd w:fill="F9FBF9"/>
            <w:tcMar>
              <w:top w:w="60" w:type="dxa"/>
              <w:bottom w:w="60" w:type="dxa"/>
              <w:left w:w="80" w:type="dxa"/>
              <w:right w:w="80" w:type="dxa"/>
            </w:tcMar>
          </w:tcPr>
          <w:p>
            <w:r>
              <w:rPr>
                <w:sz w:val="17"/>
              </w:rPr>
              <w:t>Deploy Crop Vision model endpoint, LLM advisory chatbot, and APMC historical price predictive charts.</w:t>
            </w:r>
          </w:p>
        </w:tc>
      </w:tr>
      <w:tr>
        <w:tc>
          <w:tcPr>
            <w:tcW w:type="dxa" w:w="3120"/>
            <w:shd w:fill="FFFFFF"/>
            <w:tcMar>
              <w:top w:w="60" w:type="dxa"/>
              <w:bottom w:w="60" w:type="dxa"/>
              <w:left w:w="80" w:type="dxa"/>
              <w:right w:w="80" w:type="dxa"/>
            </w:tcMar>
          </w:tcPr>
          <w:p>
            <w:r>
              <w:rPr>
                <w:b/>
                <w:sz w:val="17"/>
              </w:rPr>
              <w:t>Phase 2: Fleet Onboarding &amp; Driver App</w:t>
            </w:r>
          </w:p>
        </w:tc>
        <w:tc>
          <w:tcPr>
            <w:tcW w:type="dxa" w:w="3120"/>
            <w:shd w:fill="FFFFFF"/>
            <w:tcMar>
              <w:top w:w="60" w:type="dxa"/>
              <w:bottom w:w="60" w:type="dxa"/>
              <w:left w:w="80" w:type="dxa"/>
              <w:right w:w="80" w:type="dxa"/>
            </w:tcMar>
          </w:tcPr>
          <w:p>
            <w:r>
              <w:rPr>
                <w:sz w:val="17"/>
              </w:rPr>
              <w:t>Weeks 4 - 6</w:t>
            </w:r>
          </w:p>
        </w:tc>
        <w:tc>
          <w:tcPr>
            <w:tcW w:type="dxa" w:w="3120"/>
            <w:shd w:fill="FFFFFF"/>
            <w:tcMar>
              <w:top w:w="60" w:type="dxa"/>
              <w:bottom w:w="60" w:type="dxa"/>
              <w:left w:w="80" w:type="dxa"/>
              <w:right w:w="80" w:type="dxa"/>
            </w:tcMar>
          </w:tcPr>
          <w:p>
            <w:r>
              <w:rPr>
                <w:sz w:val="17"/>
              </w:rPr>
              <w:t>Driver registration portal, vehicle KYC validation, dispatch state machine, and driver task queues.</w:t>
            </w:r>
          </w:p>
        </w:tc>
      </w:tr>
      <w:tr>
        <w:tc>
          <w:tcPr>
            <w:tcW w:type="dxa" w:w="3120"/>
            <w:shd w:fill="F9FBF9"/>
            <w:tcMar>
              <w:top w:w="60" w:type="dxa"/>
              <w:bottom w:w="60" w:type="dxa"/>
              <w:left w:w="80" w:type="dxa"/>
              <w:right w:w="80" w:type="dxa"/>
            </w:tcMar>
          </w:tcPr>
          <w:p>
            <w:r>
              <w:rPr>
                <w:b/>
                <w:sz w:val="17"/>
              </w:rPr>
              <w:t>Phase 3: Live GPS Maps &amp; Escrow Payments</w:t>
            </w:r>
          </w:p>
        </w:tc>
        <w:tc>
          <w:tcPr>
            <w:tcW w:type="dxa" w:w="3120"/>
            <w:shd w:fill="F9FBF9"/>
            <w:tcMar>
              <w:top w:w="60" w:type="dxa"/>
              <w:bottom w:w="60" w:type="dxa"/>
              <w:left w:w="80" w:type="dxa"/>
              <w:right w:w="80" w:type="dxa"/>
            </w:tcMar>
          </w:tcPr>
          <w:p>
            <w:r>
              <w:rPr>
                <w:sz w:val="17"/>
              </w:rPr>
              <w:t>Weeks 7 - 9</w:t>
            </w:r>
          </w:p>
        </w:tc>
        <w:tc>
          <w:tcPr>
            <w:tcW w:type="dxa" w:w="3120"/>
            <w:shd w:fill="F9FBF9"/>
            <w:tcMar>
              <w:top w:w="60" w:type="dxa"/>
              <w:bottom w:w="60" w:type="dxa"/>
              <w:left w:w="80" w:type="dxa"/>
              <w:right w:w="80" w:type="dxa"/>
            </w:tcMar>
          </w:tcPr>
          <w:p>
            <w:r>
              <w:rPr>
                <w:sz w:val="17"/>
              </w:rPr>
              <w:t>Real-time Leaflet tracking, polyline streaming, geofencing gate triggers, and UPI/Escrow payment gateway integration.</w:t>
            </w:r>
          </w:p>
        </w:tc>
      </w:tr>
      <w:tr>
        <w:tc>
          <w:tcPr>
            <w:tcW w:type="dxa" w:w="3120"/>
            <w:shd w:fill="FFFFFF"/>
            <w:tcMar>
              <w:top w:w="60" w:type="dxa"/>
              <w:bottom w:w="60" w:type="dxa"/>
              <w:left w:w="80" w:type="dxa"/>
              <w:right w:w="80" w:type="dxa"/>
            </w:tcMar>
          </w:tcPr>
          <w:p>
            <w:r>
              <w:rPr>
                <w:b/>
                <w:sz w:val="17"/>
              </w:rPr>
              <w:t>Phase 4: Tools Store &amp; Machinery Rental</w:t>
            </w:r>
          </w:p>
        </w:tc>
        <w:tc>
          <w:tcPr>
            <w:tcW w:type="dxa" w:w="3120"/>
            <w:shd w:fill="FFFFFF"/>
            <w:tcMar>
              <w:top w:w="60" w:type="dxa"/>
              <w:bottom w:w="60" w:type="dxa"/>
              <w:left w:w="80" w:type="dxa"/>
              <w:right w:w="80" w:type="dxa"/>
            </w:tcMar>
          </w:tcPr>
          <w:p>
            <w:r>
              <w:rPr>
                <w:sz w:val="17"/>
              </w:rPr>
              <w:t>Weeks 10 - 12</w:t>
            </w:r>
          </w:p>
        </w:tc>
        <w:tc>
          <w:tcPr>
            <w:tcW w:type="dxa" w:w="3120"/>
            <w:shd w:fill="FFFFFF"/>
            <w:tcMar>
              <w:top w:w="60" w:type="dxa"/>
              <w:bottom w:w="60" w:type="dxa"/>
              <w:left w:w="80" w:type="dxa"/>
              <w:right w:w="80" w:type="dxa"/>
            </w:tcMar>
          </w:tcPr>
          <w:p>
            <w:r>
              <w:rPr>
                <w:sz w:val="17"/>
              </w:rPr>
              <w:t>Hardware e-commerce catalog, rental calendar, per-acre/hourly booking scheduler, and security deposit holding.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