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23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sz w:val="20"/>
                <w:szCs w:val="20"/>
                <w:highlight w:val="white"/>
                <w:rtl w:val="0"/>
              </w:rPr>
              <w:t xml:space="preserve">LTVIP2025TMID49815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BookNest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Online Book Shopping Application</w:t>
      </w:r>
    </w:p>
    <w:p w:rsidR="00000000" w:rsidDel="00000000" w:rsidP="00000000" w:rsidRDefault="00000000" w:rsidRPr="00000000" w14:paraId="00000019">
      <w:pPr>
        <w:rPr>
          <w:sz w:val="24"/>
          <w:szCs w:val="24"/>
        </w:rPr>
      </w:pPr>
      <w:r w:rsidDel="00000000" w:rsidR="00000000" w:rsidRPr="00000000">
        <w:rPr/>
        <w:drawing>
          <wp:inline distB="114300" distT="114300" distL="114300" distR="114300">
            <wp:extent cx="5731200" cy="5905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