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11" w:rsidRDefault="00D34711" w:rsidP="00D34711">
      <w:pPr>
        <w:ind w:left="-630"/>
        <w:rPr>
          <w:sz w:val="54"/>
        </w:rPr>
      </w:pPr>
    </w:p>
    <w:p w:rsidR="000F1929" w:rsidRDefault="000F1929" w:rsidP="00D34711">
      <w:pPr>
        <w:rPr>
          <w:sz w:val="54"/>
        </w:rPr>
      </w:pPr>
    </w:p>
    <w:p w:rsidR="00A542D8" w:rsidRDefault="00A542D8" w:rsidP="00D34711">
      <w:pPr>
        <w:rPr>
          <w:sz w:val="54"/>
        </w:rPr>
      </w:pPr>
    </w:p>
    <w:p w:rsidR="00D34711" w:rsidRDefault="00D34711" w:rsidP="00D34711">
      <w:pPr>
        <w:pStyle w:val="Title"/>
      </w:pPr>
    </w:p>
    <w:p w:rsidR="00D34711" w:rsidRPr="001B2BC1" w:rsidRDefault="00D34711" w:rsidP="00D34711">
      <w:pPr>
        <w:rPr>
          <w:sz w:val="2"/>
        </w:rPr>
      </w:pPr>
    </w:p>
    <w:p w:rsidR="00022ADA" w:rsidRPr="00022ADA" w:rsidRDefault="00022ADA" w:rsidP="00022ADA">
      <w:pPr>
        <w:spacing w:after="0" w:line="240" w:lineRule="auto"/>
        <w:rPr>
          <w:rFonts w:ascii="Times New Roman" w:eastAsia="Times New Roman" w:hAnsi="Times New Roman" w:cs="Times New Roman"/>
          <w:b/>
          <w:color w:val="4BACC6" w:themeColor="accent5"/>
          <w:sz w:val="40"/>
          <w:szCs w:val="40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4BACC6" w:themeColor="accent5"/>
          <w:sz w:val="40"/>
          <w:szCs w:val="40"/>
          <w:lang w:val="en-IN" w:eastAsia="en-IN"/>
        </w:rPr>
        <w:t xml:space="preserve">             </w:t>
      </w:r>
      <w:r w:rsidR="006B1C44">
        <w:rPr>
          <w:rFonts w:ascii="Times New Roman" w:eastAsia="Times New Roman" w:hAnsi="Times New Roman" w:cs="Times New Roman"/>
          <w:b/>
          <w:color w:val="4BACC6" w:themeColor="accent5"/>
          <w:sz w:val="40"/>
          <w:szCs w:val="40"/>
          <w:lang w:val="en-IN" w:eastAsia="en-IN"/>
        </w:rPr>
        <w:t>MULTI-TENANT APPROACH DOCUMENT</w:t>
      </w:r>
    </w:p>
    <w:p w:rsidR="00D34711" w:rsidRDefault="00D34711" w:rsidP="00D34711">
      <w:pPr>
        <w:pStyle w:val="Title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                                                                                                                               </w:t>
      </w: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676DED" w:rsidRDefault="00676DED">
      <w:pPr>
        <w:rPr>
          <w:b/>
          <w:color w:val="365F91" w:themeColor="accent1" w:themeShade="BF"/>
          <w:sz w:val="28"/>
          <w:szCs w:val="28"/>
        </w:rPr>
      </w:pPr>
    </w:p>
    <w:p w:rsidR="00D67472" w:rsidRDefault="00D67472">
      <w:r>
        <w:br w:type="page"/>
      </w:r>
    </w:p>
    <w:p w:rsidR="006E7E86" w:rsidRDefault="006E7E86" w:rsidP="0028688F">
      <w:pPr>
        <w:pStyle w:val="Heading1"/>
        <w:numPr>
          <w:ilvl w:val="0"/>
          <w:numId w:val="0"/>
        </w:numPr>
        <w:ind w:left="432"/>
      </w:pPr>
    </w:p>
    <w:p w:rsidR="006E7E86" w:rsidRPr="006E7E86" w:rsidRDefault="007617E6" w:rsidP="006E7E86"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C6A72" wp14:editId="4BEC7466">
                <wp:simplePos x="0" y="0"/>
                <wp:positionH relativeFrom="column">
                  <wp:posOffset>-140677</wp:posOffset>
                </wp:positionH>
                <wp:positionV relativeFrom="paragraph">
                  <wp:posOffset>76249</wp:posOffset>
                </wp:positionV>
                <wp:extent cx="7181850" cy="2066192"/>
                <wp:effectExtent l="57150" t="38100" r="76200" b="869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20661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0C080C" w:rsidRDefault="00E53B79" w:rsidP="00010665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C080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Multi</w:t>
                            </w: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>-</w:t>
                            </w:r>
                            <w:r w:rsidRPr="000C080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tenancy</w:t>
                            </w: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 xml:space="preserve"> means that a single instance of the software a</w:t>
                            </w: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 xml:space="preserve">nd its supporting infrastructure serves </w:t>
                            </w:r>
                            <w:r w:rsidRPr="000C080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multiple</w:t>
                            </w: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 xml:space="preserve"> clients.</w:t>
                            </w:r>
                          </w:p>
                          <w:p w:rsidR="00000000" w:rsidRPr="000C080C" w:rsidRDefault="00E53B79" w:rsidP="00010665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 xml:space="preserve">Each </w:t>
                            </w:r>
                            <w:r w:rsidR="00010665"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>client’s</w:t>
                            </w: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 xml:space="preserve"> shares the software application with different </w:t>
                            </w:r>
                            <w:r w:rsidRPr="000C080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database.</w:t>
                            </w:r>
                          </w:p>
                          <w:p w:rsidR="000C080C" w:rsidRPr="000C080C" w:rsidRDefault="000C080C" w:rsidP="000C080C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C080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Advantages:</w:t>
                            </w:r>
                          </w:p>
                          <w:p w:rsidR="00000000" w:rsidRPr="000C080C" w:rsidRDefault="00E53B79" w:rsidP="000C080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C080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>Multi-tenant database provides is that the application is shared.</w:t>
                            </w:r>
                          </w:p>
                          <w:p w:rsidR="00000000" w:rsidRPr="000C080C" w:rsidRDefault="00E53B79" w:rsidP="000C080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>Through centralizi</w:t>
                            </w:r>
                            <w:r w:rsidRPr="000C080C"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  <w:t>ng resources, all customers are maintained at the same version, reducing the overhead an application provider would otherwise encounter when maintaining multiple versions of an application across deployments.</w:t>
                            </w:r>
                          </w:p>
                          <w:p w:rsidR="007617E6" w:rsidRPr="000C080C" w:rsidRDefault="007617E6" w:rsidP="000C080C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1.1pt;margin-top:6pt;width:565.5pt;height:1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00000" w:rsidRPr="000C080C" w:rsidRDefault="00E53B79" w:rsidP="00010665">
                      <w:pPr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</w:pPr>
                      <w:r w:rsidRPr="000C080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  <w:t>Multi</w:t>
                      </w: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>-</w:t>
                      </w:r>
                      <w:r w:rsidRPr="000C080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  <w:t>tenancy</w:t>
                      </w: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 xml:space="preserve"> means that a single instance of the software a</w:t>
                      </w: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 xml:space="preserve">nd its supporting infrastructure serves </w:t>
                      </w:r>
                      <w:r w:rsidRPr="000C080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  <w:t>multiple</w:t>
                      </w: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 xml:space="preserve"> clients.</w:t>
                      </w:r>
                    </w:p>
                    <w:p w:rsidR="00000000" w:rsidRPr="000C080C" w:rsidRDefault="00E53B79" w:rsidP="00010665">
                      <w:pPr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</w:pP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 xml:space="preserve">Each </w:t>
                      </w:r>
                      <w:r w:rsidR="00010665"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>client’s</w:t>
                      </w: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 xml:space="preserve"> shares the software application with different </w:t>
                      </w:r>
                      <w:r w:rsidRPr="000C080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  <w:t>database.</w:t>
                      </w:r>
                    </w:p>
                    <w:p w:rsidR="000C080C" w:rsidRPr="000C080C" w:rsidRDefault="000C080C" w:rsidP="000C080C">
                      <w:pPr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</w:pPr>
                      <w:r w:rsidRPr="000C080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Advantages:</w:t>
                      </w:r>
                    </w:p>
                    <w:p w:rsidR="00000000" w:rsidRPr="000C080C" w:rsidRDefault="00E53B79" w:rsidP="000C080C">
                      <w:pPr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</w:pPr>
                      <w:r w:rsidRPr="000C080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>Multi-tenant database provides is that the application is shared.</w:t>
                      </w:r>
                    </w:p>
                    <w:p w:rsidR="00000000" w:rsidRPr="000C080C" w:rsidRDefault="00E53B79" w:rsidP="000C080C">
                      <w:pPr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</w:pP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>Through centralizi</w:t>
                      </w:r>
                      <w:r w:rsidRPr="000C080C"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  <w:t>ng resources, all customers are maintained at the same version, reducing the overhead an application provider would otherwise encounter when maintaining multiple versions of an application across deployments.</w:t>
                      </w:r>
                    </w:p>
                    <w:p w:rsidR="007617E6" w:rsidRPr="000C080C" w:rsidRDefault="007617E6" w:rsidP="000C080C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2EE2" w:rsidRDefault="00392EE2" w:rsidP="00762D0E"/>
    <w:p w:rsidR="007617E6" w:rsidRPr="007617E6" w:rsidRDefault="007617E6" w:rsidP="007617E6"/>
    <w:p w:rsidR="007617E6" w:rsidRDefault="007617E6" w:rsidP="00762D0E">
      <w:r>
        <w:t xml:space="preserve">    </w:t>
      </w:r>
    </w:p>
    <w:p w:rsidR="007617E6" w:rsidRPr="007617E6" w:rsidRDefault="007617E6" w:rsidP="007617E6"/>
    <w:p w:rsidR="008370B0" w:rsidRPr="008370B0" w:rsidRDefault="0028688F" w:rsidP="008370B0">
      <w:r>
        <w:t xml:space="preserve">    </w:t>
      </w:r>
    </w:p>
    <w:p w:rsidR="000A23A0" w:rsidRDefault="000A23A0" w:rsidP="00762D0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0304F2" w:rsidRDefault="00E567ED" w:rsidP="00762D0E">
      <w:pPr>
        <w:rPr>
          <w:sz w:val="28"/>
          <w:szCs w:val="28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D3105" wp14:editId="32CE7BDC">
                <wp:simplePos x="0" y="0"/>
                <wp:positionH relativeFrom="column">
                  <wp:posOffset>-87923</wp:posOffset>
                </wp:positionH>
                <wp:positionV relativeFrom="paragraph">
                  <wp:posOffset>151911</wp:posOffset>
                </wp:positionV>
                <wp:extent cx="7181850" cy="4325815"/>
                <wp:effectExtent l="57150" t="38100" r="76200" b="939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4325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E567ED" w:rsidRDefault="00E567ED" w:rsidP="00E567ED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E567ED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Attendance Portal</w:t>
                            </w:r>
                          </w:p>
                          <w:p w:rsidR="00E567ED" w:rsidRPr="00E567ED" w:rsidRDefault="00E567ED" w:rsidP="00E567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r w:rsidRPr="00E567E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Client 1</w:t>
                            </w:r>
                            <w:r w:rsidRP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GSS </w:t>
                            </w:r>
                            <w:r w:rsidRPr="00E567E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Client 2: </w:t>
                            </w:r>
                            <w:r w:rsidRP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KITE </w:t>
                            </w:r>
                            <w:r w:rsidRPr="00E567E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Client 3: </w:t>
                            </w:r>
                            <w:r w:rsidRP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CAS</w:t>
                            </w:r>
                          </w:p>
                          <w:p w:rsidR="00E567ED" w:rsidRPr="00E567ED" w:rsidRDefault="00F346CE" w:rsidP="00E567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Created</w:t>
                            </w:r>
                            <w:r w:rsidR="00E567ED" w:rsidRP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separated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database for all 3 clients i.e for GSS, KITE and for CAS</w:t>
                            </w:r>
                            <w:r w:rsidR="00B416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567ED" w:rsidRDefault="00E567ED" w:rsidP="00E567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When a client tri</w:t>
                            </w:r>
                            <w:bookmarkStart w:id="0" w:name="_GoBack"/>
                            <w:bookmarkEnd w:id="0"/>
                            <w:r w:rsidRPr="00E567E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es to login to portal, tenant-id will be identified to find database. Using that database authorization will happen. And their punch entry will be inserted into respective database.</w:t>
                            </w:r>
                          </w:p>
                          <w:p w:rsidR="00E567ED" w:rsidRDefault="00927476" w:rsidP="009274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tenant-id will be assigned to all clients.</w:t>
                            </w:r>
                          </w:p>
                          <w:p w:rsidR="00927476" w:rsidRDefault="00927476" w:rsidP="009274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All </w:t>
                            </w:r>
                            <w:r w:rsidR="007921A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http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requests to the system should have tenant id, else it will be marked as a bad request</w:t>
                            </w:r>
                            <w:r w:rsidR="0056620F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in the tenant filter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27476" w:rsidRDefault="000D5B48" w:rsidP="009274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Tenant-id will be stored in the client</w:t>
                            </w:r>
                            <w:r w:rsidR="008115E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session.</w:t>
                            </w:r>
                          </w:p>
                          <w:p w:rsidR="008115E8" w:rsidRDefault="0056620F" w:rsidP="009274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Before session or transaction layer a</w:t>
                            </w:r>
                            <w:r w:rsidR="008E70D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tenant routing data source will be invoked to determine </w:t>
                            </w:r>
                            <w:r w:rsidR="00CE2A3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database for the client request. </w:t>
                            </w:r>
                          </w:p>
                          <w:p w:rsidR="00001991" w:rsidRPr="00001991" w:rsidRDefault="00001991" w:rsidP="00001991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Database request will be triggered on logging into the portal and on putting punch entry. For each action data will be fetched and updated to the respective clients</w:t>
                            </w:r>
                            <w:r w:rsidR="003B755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(KITE, CAS or GSS)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6.9pt;margin-top:11.95pt;width:565.5pt;height:34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00000" w:rsidRPr="00E567ED" w:rsidRDefault="00E567ED" w:rsidP="00E567ED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  <w:lang w:val="en-IN"/>
                        </w:rPr>
                      </w:pPr>
                      <w:r w:rsidRPr="00E567ED">
                        <w:rPr>
                          <w:rFonts w:cstheme="minorHAnsi"/>
                          <w:sz w:val="36"/>
                          <w:szCs w:val="36"/>
                        </w:rPr>
                        <w:t>Attendance Portal</w:t>
                      </w:r>
                    </w:p>
                    <w:p w:rsidR="00E567ED" w:rsidRPr="00E567ED" w:rsidRDefault="00E567ED" w:rsidP="00E567ED">
                      <w:pPr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</w:pPr>
                      <w:r w:rsidRPr="00E567ED">
                        <w:rPr>
                          <w:rFonts w:cstheme="minorHAnsi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r w:rsidRPr="00E567E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Client 1</w:t>
                      </w:r>
                      <w:r w:rsidRPr="00E567ED">
                        <w:rPr>
                          <w:rFonts w:cstheme="minorHAnsi"/>
                          <w:sz w:val="28"/>
                          <w:szCs w:val="28"/>
                        </w:rPr>
                        <w:t xml:space="preserve">: GSS </w:t>
                      </w:r>
                      <w:r w:rsidRPr="00E567E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Client 2: </w:t>
                      </w:r>
                      <w:r w:rsidRPr="00E567ED">
                        <w:rPr>
                          <w:rFonts w:cstheme="minorHAnsi"/>
                          <w:sz w:val="28"/>
                          <w:szCs w:val="28"/>
                        </w:rPr>
                        <w:t xml:space="preserve">KITE </w:t>
                      </w:r>
                      <w:r w:rsidRPr="00E567E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Client 3: </w:t>
                      </w:r>
                      <w:r w:rsidRPr="00E567ED">
                        <w:rPr>
                          <w:rFonts w:cstheme="minorHAnsi"/>
                          <w:sz w:val="28"/>
                          <w:szCs w:val="28"/>
                        </w:rPr>
                        <w:t>CAS</w:t>
                      </w:r>
                    </w:p>
                    <w:p w:rsidR="00E567ED" w:rsidRPr="00E567ED" w:rsidRDefault="00F346CE" w:rsidP="00E567ED">
                      <w:pPr>
                        <w:rPr>
                          <w:rFonts w:cstheme="minorHAns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="00E567ED">
                        <w:rPr>
                          <w:rFonts w:cstheme="minorHAnsi"/>
                          <w:sz w:val="28"/>
                          <w:szCs w:val="28"/>
                        </w:rPr>
                        <w:t>Created</w:t>
                      </w:r>
                      <w:r w:rsidR="00E567ED" w:rsidRPr="00E567ED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="00E567ED">
                        <w:rPr>
                          <w:rFonts w:cstheme="minorHAnsi"/>
                          <w:sz w:val="28"/>
                          <w:szCs w:val="28"/>
                        </w:rPr>
                        <w:t xml:space="preserve">separated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database for all 3 clients i.e for GSS, KITE and for CAS</w:t>
                      </w:r>
                      <w:r w:rsidR="00B4160E">
                        <w:rPr>
                          <w:rFonts w:cstheme="minorHAnsi"/>
                          <w:sz w:val="28"/>
                          <w:szCs w:val="28"/>
                        </w:rPr>
                        <w:t>.</w:t>
                      </w:r>
                    </w:p>
                    <w:p w:rsidR="00E567ED" w:rsidRDefault="00E567ED" w:rsidP="00E567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E567ED">
                        <w:rPr>
                          <w:rFonts w:cstheme="minorHAnsi"/>
                          <w:sz w:val="28"/>
                          <w:szCs w:val="28"/>
                        </w:rPr>
                        <w:t>When a client tri</w:t>
                      </w:r>
                      <w:bookmarkStart w:id="1" w:name="_GoBack"/>
                      <w:bookmarkEnd w:id="1"/>
                      <w:r w:rsidRPr="00E567ED">
                        <w:rPr>
                          <w:rFonts w:cstheme="minorHAnsi"/>
                          <w:sz w:val="28"/>
                          <w:szCs w:val="28"/>
                        </w:rPr>
                        <w:t>es to login to portal, tenant-id will be identified to find database. Using that database authorization will happen. And their punch entry will be inserted into respective database.</w:t>
                      </w:r>
                    </w:p>
                    <w:p w:rsidR="00E567ED" w:rsidRDefault="00927476" w:rsidP="009274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A tenant-id will be assigned to all clients.</w:t>
                      </w:r>
                    </w:p>
                    <w:p w:rsidR="00927476" w:rsidRDefault="00927476" w:rsidP="009274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All </w:t>
                      </w:r>
                      <w:r w:rsidR="007921A4">
                        <w:rPr>
                          <w:rFonts w:cstheme="minorHAnsi"/>
                          <w:sz w:val="28"/>
                          <w:szCs w:val="28"/>
                        </w:rPr>
                        <w:t xml:space="preserve">http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requests to the system should have tenant id, else it will be marked as a bad request</w:t>
                      </w:r>
                      <w:r w:rsidR="0056620F">
                        <w:rPr>
                          <w:rFonts w:cstheme="minorHAnsi"/>
                          <w:sz w:val="28"/>
                          <w:szCs w:val="28"/>
                        </w:rPr>
                        <w:t xml:space="preserve"> in the tenant filter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.</w:t>
                      </w:r>
                    </w:p>
                    <w:p w:rsidR="00927476" w:rsidRDefault="000D5B48" w:rsidP="009274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Tenant-id will be stored in the client</w:t>
                      </w:r>
                      <w:r w:rsidR="008115E8">
                        <w:rPr>
                          <w:rFonts w:cstheme="minorHAnsi"/>
                          <w:sz w:val="28"/>
                          <w:szCs w:val="28"/>
                        </w:rPr>
                        <w:t xml:space="preserve"> session.</w:t>
                      </w:r>
                    </w:p>
                    <w:p w:rsidR="008115E8" w:rsidRDefault="0056620F" w:rsidP="009274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Before session or transaction layer a</w:t>
                      </w:r>
                      <w:r w:rsidR="008E70D9">
                        <w:rPr>
                          <w:rFonts w:cstheme="minorHAnsi"/>
                          <w:sz w:val="28"/>
                          <w:szCs w:val="28"/>
                        </w:rPr>
                        <w:t xml:space="preserve"> tenant routing data source will be invoked to determine </w:t>
                      </w:r>
                      <w:r w:rsidR="00CE2A37">
                        <w:rPr>
                          <w:rFonts w:cstheme="minorHAnsi"/>
                          <w:sz w:val="28"/>
                          <w:szCs w:val="28"/>
                        </w:rPr>
                        <w:t xml:space="preserve">database for the client request. </w:t>
                      </w:r>
                    </w:p>
                    <w:p w:rsidR="00001991" w:rsidRPr="00001991" w:rsidRDefault="00001991" w:rsidP="00001991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Database request will be triggered on logging into the portal and on putting punch entry. For each action data will be fetched and updated to the respective clients</w:t>
                      </w:r>
                      <w:r w:rsidR="003B755D">
                        <w:rPr>
                          <w:rFonts w:cstheme="minorHAnsi"/>
                          <w:sz w:val="28"/>
                          <w:szCs w:val="28"/>
                        </w:rPr>
                        <w:t xml:space="preserve"> (KITE, CAS or GSS)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:rsidR="000304F2" w:rsidRDefault="000304F2" w:rsidP="00762D0E">
      <w:pPr>
        <w:rPr>
          <w:sz w:val="28"/>
          <w:szCs w:val="28"/>
        </w:rPr>
      </w:pPr>
    </w:p>
    <w:p w:rsidR="000304F2" w:rsidRDefault="000304F2" w:rsidP="00762D0E">
      <w:pPr>
        <w:rPr>
          <w:sz w:val="28"/>
          <w:szCs w:val="28"/>
        </w:rPr>
      </w:pPr>
    </w:p>
    <w:p w:rsidR="000304F2" w:rsidRDefault="000304F2" w:rsidP="00762D0E">
      <w:pPr>
        <w:rPr>
          <w:sz w:val="28"/>
          <w:szCs w:val="28"/>
        </w:rPr>
      </w:pPr>
    </w:p>
    <w:p w:rsidR="0089535E" w:rsidRDefault="0089535E" w:rsidP="005B096F">
      <w:pPr>
        <w:pStyle w:val="Heading3"/>
        <w:numPr>
          <w:ilvl w:val="0"/>
          <w:numId w:val="0"/>
        </w:numPr>
        <w:rPr>
          <w:color w:val="auto"/>
          <w:sz w:val="28"/>
          <w:szCs w:val="28"/>
        </w:rPr>
      </w:pPr>
    </w:p>
    <w:p w:rsidR="00927476" w:rsidRDefault="00927476" w:rsidP="00927476"/>
    <w:p w:rsidR="00927476" w:rsidRDefault="00927476" w:rsidP="00927476"/>
    <w:p w:rsidR="00927476" w:rsidRDefault="00927476" w:rsidP="00927476"/>
    <w:p w:rsidR="00927476" w:rsidRDefault="00927476" w:rsidP="00927476">
      <w:pPr>
        <w:pStyle w:val="ListParagraph"/>
        <w:numPr>
          <w:ilvl w:val="0"/>
          <w:numId w:val="13"/>
        </w:numPr>
      </w:pPr>
      <w:r>
        <w:t xml:space="preserve">A </w:t>
      </w:r>
    </w:p>
    <w:p w:rsidR="007A53FE" w:rsidRDefault="007A53FE" w:rsidP="007A53FE"/>
    <w:p w:rsidR="007A53FE" w:rsidRDefault="007A53FE" w:rsidP="007A53FE"/>
    <w:p w:rsidR="007A53FE" w:rsidRDefault="007A53FE" w:rsidP="007A53FE"/>
    <w:p w:rsidR="007A53FE" w:rsidRDefault="007A53FE" w:rsidP="007A53FE"/>
    <w:p w:rsidR="007A53FE" w:rsidRDefault="007A53FE" w:rsidP="007A53FE"/>
    <w:p w:rsidR="007A53FE" w:rsidRDefault="007A53FE" w:rsidP="007A53FE"/>
    <w:p w:rsidR="007A53FE" w:rsidRPr="007A53FE" w:rsidRDefault="007A53FE" w:rsidP="007A53FE">
      <w:pPr>
        <w:rPr>
          <w:sz w:val="44"/>
          <w:szCs w:val="44"/>
        </w:rPr>
      </w:pPr>
      <w:r w:rsidRPr="007A53FE">
        <w:rPr>
          <w:sz w:val="44"/>
          <w:szCs w:val="44"/>
        </w:rPr>
        <w:t>Flow Diagram for the Attendance Portal:</w:t>
      </w:r>
    </w:p>
    <w:p w:rsidR="007A53FE" w:rsidRPr="00927476" w:rsidRDefault="007A53FE" w:rsidP="007A53FE">
      <w:r w:rsidRPr="007A53FE">
        <w:rPr>
          <w:lang w:val="en-IN"/>
        </w:rPr>
        <w:lastRenderedPageBreak/>
        <w:drawing>
          <wp:inline distT="0" distB="0" distL="0" distR="0" wp14:anchorId="6586DC8D" wp14:editId="01C7F36E">
            <wp:extent cx="5943600" cy="2264410"/>
            <wp:effectExtent l="0" t="0" r="0" b="2540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3FE" w:rsidRPr="00927476" w:rsidSect="00AB023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45" w:right="720" w:bottom="144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B79" w:rsidRDefault="00E53B79" w:rsidP="00AD5024">
      <w:pPr>
        <w:spacing w:after="0" w:line="240" w:lineRule="auto"/>
      </w:pPr>
      <w:r>
        <w:separator/>
      </w:r>
    </w:p>
  </w:endnote>
  <w:endnote w:type="continuationSeparator" w:id="0">
    <w:p w:rsidR="00E53B79" w:rsidRDefault="00E53B79" w:rsidP="00AD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041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1153B" w:rsidRDefault="0041153B" w:rsidP="0041153B">
            <w:pPr>
              <w:pStyle w:val="Foot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A7BDC4C" wp14:editId="4CBF0003">
                  <wp:extent cx="1792798" cy="165600"/>
                  <wp:effectExtent l="0" t="0" r="0" b="635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05" cy="16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</w:t>
            </w:r>
            <w:r w:rsidR="0050734E">
              <w:t xml:space="preserve">    </w:t>
            </w:r>
            <w:r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6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6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2480" w:rsidRDefault="006E24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881646"/>
      <w:docPartObj>
        <w:docPartGallery w:val="Page Numbers (Bottom of Page)"/>
        <w:docPartUnique/>
      </w:docPartObj>
    </w:sdtPr>
    <w:sdtEndPr/>
    <w:sdtContent>
      <w:sdt>
        <w:sdtPr>
          <w:id w:val="1666973102"/>
          <w:docPartObj>
            <w:docPartGallery w:val="Page Numbers (Top of Page)"/>
            <w:docPartUnique/>
          </w:docPartObj>
        </w:sdtPr>
        <w:sdtEndPr/>
        <w:sdtContent>
          <w:p w:rsidR="0041153B" w:rsidRDefault="0041153B">
            <w:pPr>
              <w:pStyle w:val="Footer"/>
              <w:jc w:val="righ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B7626EE" wp14:editId="6EC02F9B">
                  <wp:extent cx="1792798" cy="165600"/>
                  <wp:effectExtent l="0" t="0" r="0" b="635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05" cy="16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6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62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2480" w:rsidRDefault="006E2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B79" w:rsidRDefault="00E53B79" w:rsidP="00AD5024">
      <w:pPr>
        <w:spacing w:after="0" w:line="240" w:lineRule="auto"/>
      </w:pPr>
      <w:r>
        <w:separator/>
      </w:r>
    </w:p>
  </w:footnote>
  <w:footnote w:type="continuationSeparator" w:id="0">
    <w:p w:rsidR="00E53B79" w:rsidRDefault="00E53B79" w:rsidP="00AD5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480" w:rsidRDefault="00D84443">
    <w:pPr>
      <w:pStyle w:val="Header"/>
      <w:rPr>
        <w:sz w:val="24"/>
        <w:szCs w:val="24"/>
      </w:rPr>
    </w:pPr>
    <w:r w:rsidRPr="006E2480">
      <w:rPr>
        <w:sz w:val="24"/>
        <w:szCs w:val="24"/>
      </w:rPr>
      <w:t xml:space="preserve">                                             </w:t>
    </w:r>
    <w:r w:rsidR="006E2480" w:rsidRPr="006E2480">
      <w:rPr>
        <w:sz w:val="24"/>
        <w:szCs w:val="24"/>
      </w:rPr>
      <w:t xml:space="preserve">                  </w:t>
    </w:r>
  </w:p>
  <w:p w:rsidR="00D84443" w:rsidRPr="006E2480" w:rsidRDefault="006E2480">
    <w:pPr>
      <w:pStyle w:val="Header"/>
      <w:rPr>
        <w:color w:val="4F81BD" w:themeColor="accent1"/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</w:t>
    </w:r>
    <w:r w:rsidRPr="006E2480">
      <w:rPr>
        <w:color w:val="4F81BD" w:themeColor="accent1"/>
        <w:sz w:val="24"/>
        <w:szCs w:val="24"/>
      </w:rPr>
      <w:t xml:space="preserve">      </w:t>
    </w:r>
    <w:r w:rsidRPr="006E2480">
      <w:rPr>
        <w:rFonts w:ascii="Arial" w:hAnsi="Arial" w:cs="Arial"/>
        <w:color w:val="4F81BD" w:themeColor="accent1"/>
        <w:sz w:val="24"/>
        <w:szCs w:val="24"/>
      </w:rPr>
      <w:t>Aspiring Minds –Individual Event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443" w:rsidRDefault="00D84443">
    <w:pPr>
      <w:pStyle w:val="Header"/>
    </w:pPr>
    <w:r>
      <w:t xml:space="preserve">                                                                                                                                                                              </w:t>
    </w:r>
  </w:p>
  <w:p w:rsidR="006E2480" w:rsidRDefault="006E2480">
    <w:pPr>
      <w:pStyle w:val="Header"/>
    </w:pPr>
    <w:r>
      <w:rPr>
        <w:rFonts w:ascii="Arial" w:hAnsi="Arial" w:cs="Arial"/>
        <w:sz w:val="32"/>
        <w:szCs w:val="32"/>
      </w:rP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D25"/>
    <w:multiLevelType w:val="hybridMultilevel"/>
    <w:tmpl w:val="60B20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B3335"/>
    <w:multiLevelType w:val="hybridMultilevel"/>
    <w:tmpl w:val="85D0EB60"/>
    <w:lvl w:ilvl="0" w:tplc="69C084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047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6D9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7A47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2D0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21B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E2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C2F6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042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B26D30"/>
    <w:multiLevelType w:val="hybridMultilevel"/>
    <w:tmpl w:val="444CA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676DE"/>
    <w:multiLevelType w:val="hybridMultilevel"/>
    <w:tmpl w:val="08806A52"/>
    <w:lvl w:ilvl="0" w:tplc="61429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A7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4A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E4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E1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AB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C1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C2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CA08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70A5DCA"/>
    <w:multiLevelType w:val="multilevel"/>
    <w:tmpl w:val="0C546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7F516B9"/>
    <w:multiLevelType w:val="hybridMultilevel"/>
    <w:tmpl w:val="FC584E16"/>
    <w:lvl w:ilvl="0" w:tplc="355C685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0F4D5D"/>
    <w:multiLevelType w:val="hybridMultilevel"/>
    <w:tmpl w:val="240C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81A9E"/>
    <w:multiLevelType w:val="hybridMultilevel"/>
    <w:tmpl w:val="954AA7C6"/>
    <w:lvl w:ilvl="0" w:tplc="CD2EE8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035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484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6EE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024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0B1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8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450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839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5B5522"/>
    <w:multiLevelType w:val="hybridMultilevel"/>
    <w:tmpl w:val="CBDC6BC6"/>
    <w:lvl w:ilvl="0" w:tplc="CC3E0A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715280"/>
    <w:multiLevelType w:val="hybridMultilevel"/>
    <w:tmpl w:val="683A1A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265AF"/>
    <w:multiLevelType w:val="hybridMultilevel"/>
    <w:tmpl w:val="5786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C5EEC"/>
    <w:multiLevelType w:val="hybridMultilevel"/>
    <w:tmpl w:val="C1AC98CA"/>
    <w:lvl w:ilvl="0" w:tplc="33BC30C8">
      <w:start w:val="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7"/>
  </w:num>
  <w:num w:numId="8">
    <w:abstractNumId w:val="12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D4"/>
    <w:rsid w:val="00001991"/>
    <w:rsid w:val="00007536"/>
    <w:rsid w:val="00007764"/>
    <w:rsid w:val="00010665"/>
    <w:rsid w:val="000126F8"/>
    <w:rsid w:val="000200D0"/>
    <w:rsid w:val="00020654"/>
    <w:rsid w:val="00021CD8"/>
    <w:rsid w:val="00022547"/>
    <w:rsid w:val="00022ADA"/>
    <w:rsid w:val="000304F2"/>
    <w:rsid w:val="00037EC9"/>
    <w:rsid w:val="00044D57"/>
    <w:rsid w:val="00050F94"/>
    <w:rsid w:val="0005127B"/>
    <w:rsid w:val="00052B13"/>
    <w:rsid w:val="00052D1E"/>
    <w:rsid w:val="000533C6"/>
    <w:rsid w:val="00053AD2"/>
    <w:rsid w:val="00057144"/>
    <w:rsid w:val="00060AD8"/>
    <w:rsid w:val="000659BB"/>
    <w:rsid w:val="00067A32"/>
    <w:rsid w:val="000702A0"/>
    <w:rsid w:val="00070CA7"/>
    <w:rsid w:val="00074914"/>
    <w:rsid w:val="00076C5B"/>
    <w:rsid w:val="00077B19"/>
    <w:rsid w:val="00082342"/>
    <w:rsid w:val="00087166"/>
    <w:rsid w:val="00087AA2"/>
    <w:rsid w:val="00090230"/>
    <w:rsid w:val="000A08D0"/>
    <w:rsid w:val="000A23A0"/>
    <w:rsid w:val="000A274F"/>
    <w:rsid w:val="000A2C4F"/>
    <w:rsid w:val="000A7CBE"/>
    <w:rsid w:val="000C080C"/>
    <w:rsid w:val="000C0F44"/>
    <w:rsid w:val="000C2507"/>
    <w:rsid w:val="000C337E"/>
    <w:rsid w:val="000C41B9"/>
    <w:rsid w:val="000C4824"/>
    <w:rsid w:val="000C6169"/>
    <w:rsid w:val="000C6EE8"/>
    <w:rsid w:val="000C7EF2"/>
    <w:rsid w:val="000D01B9"/>
    <w:rsid w:val="000D055C"/>
    <w:rsid w:val="000D5B48"/>
    <w:rsid w:val="000D6431"/>
    <w:rsid w:val="000D7E2F"/>
    <w:rsid w:val="000E64E1"/>
    <w:rsid w:val="000F1929"/>
    <w:rsid w:val="000F3659"/>
    <w:rsid w:val="000F519A"/>
    <w:rsid w:val="0010038D"/>
    <w:rsid w:val="00100B0E"/>
    <w:rsid w:val="00101CD6"/>
    <w:rsid w:val="00102AD8"/>
    <w:rsid w:val="00103980"/>
    <w:rsid w:val="00104853"/>
    <w:rsid w:val="001076A2"/>
    <w:rsid w:val="00110FF3"/>
    <w:rsid w:val="00112B90"/>
    <w:rsid w:val="00112D2E"/>
    <w:rsid w:val="00112E0E"/>
    <w:rsid w:val="00113189"/>
    <w:rsid w:val="001172B9"/>
    <w:rsid w:val="00121B2E"/>
    <w:rsid w:val="00122500"/>
    <w:rsid w:val="001259E9"/>
    <w:rsid w:val="00126C88"/>
    <w:rsid w:val="0013386D"/>
    <w:rsid w:val="00133D5B"/>
    <w:rsid w:val="00135D99"/>
    <w:rsid w:val="00136CA1"/>
    <w:rsid w:val="00141B6A"/>
    <w:rsid w:val="00154252"/>
    <w:rsid w:val="00154B7D"/>
    <w:rsid w:val="00155EF1"/>
    <w:rsid w:val="00161D2A"/>
    <w:rsid w:val="00162044"/>
    <w:rsid w:val="001625A5"/>
    <w:rsid w:val="00162DAD"/>
    <w:rsid w:val="00163048"/>
    <w:rsid w:val="0016605A"/>
    <w:rsid w:val="00170559"/>
    <w:rsid w:val="00172D6A"/>
    <w:rsid w:val="00174969"/>
    <w:rsid w:val="001762F1"/>
    <w:rsid w:val="00182479"/>
    <w:rsid w:val="00187786"/>
    <w:rsid w:val="00190099"/>
    <w:rsid w:val="001938FA"/>
    <w:rsid w:val="001970E4"/>
    <w:rsid w:val="001A2442"/>
    <w:rsid w:val="001A34DC"/>
    <w:rsid w:val="001A4450"/>
    <w:rsid w:val="001A4A99"/>
    <w:rsid w:val="001A4D75"/>
    <w:rsid w:val="001A7D5B"/>
    <w:rsid w:val="001B6DF0"/>
    <w:rsid w:val="001C0299"/>
    <w:rsid w:val="001C0845"/>
    <w:rsid w:val="001C15ED"/>
    <w:rsid w:val="001C4C8D"/>
    <w:rsid w:val="001C7BDD"/>
    <w:rsid w:val="001D19A9"/>
    <w:rsid w:val="001D22AC"/>
    <w:rsid w:val="001E1EC6"/>
    <w:rsid w:val="001E31E2"/>
    <w:rsid w:val="001E68DF"/>
    <w:rsid w:val="001E70C6"/>
    <w:rsid w:val="001E72CC"/>
    <w:rsid w:val="001F2535"/>
    <w:rsid w:val="001F34AC"/>
    <w:rsid w:val="001F59F6"/>
    <w:rsid w:val="001F61D1"/>
    <w:rsid w:val="001F7625"/>
    <w:rsid w:val="002036A2"/>
    <w:rsid w:val="002036CD"/>
    <w:rsid w:val="00207B44"/>
    <w:rsid w:val="0021114F"/>
    <w:rsid w:val="00211CEE"/>
    <w:rsid w:val="00212359"/>
    <w:rsid w:val="00212A36"/>
    <w:rsid w:val="002155A5"/>
    <w:rsid w:val="00216BB0"/>
    <w:rsid w:val="002200BC"/>
    <w:rsid w:val="0022431C"/>
    <w:rsid w:val="00232366"/>
    <w:rsid w:val="00233A29"/>
    <w:rsid w:val="00233BEA"/>
    <w:rsid w:val="00233C43"/>
    <w:rsid w:val="00234128"/>
    <w:rsid w:val="00235696"/>
    <w:rsid w:val="002446B8"/>
    <w:rsid w:val="00250D47"/>
    <w:rsid w:val="0025722A"/>
    <w:rsid w:val="0026218E"/>
    <w:rsid w:val="002627E8"/>
    <w:rsid w:val="002629FF"/>
    <w:rsid w:val="00262E39"/>
    <w:rsid w:val="00270F21"/>
    <w:rsid w:val="00271665"/>
    <w:rsid w:val="00275147"/>
    <w:rsid w:val="0027614F"/>
    <w:rsid w:val="00277058"/>
    <w:rsid w:val="00280830"/>
    <w:rsid w:val="00281E80"/>
    <w:rsid w:val="00283AE8"/>
    <w:rsid w:val="002854E4"/>
    <w:rsid w:val="0028688F"/>
    <w:rsid w:val="00286D08"/>
    <w:rsid w:val="00290395"/>
    <w:rsid w:val="00292755"/>
    <w:rsid w:val="00293C93"/>
    <w:rsid w:val="0029526E"/>
    <w:rsid w:val="002A477E"/>
    <w:rsid w:val="002A7D98"/>
    <w:rsid w:val="002B09C7"/>
    <w:rsid w:val="002B5F1E"/>
    <w:rsid w:val="002B7C83"/>
    <w:rsid w:val="002C2E3B"/>
    <w:rsid w:val="002C3C12"/>
    <w:rsid w:val="002C5FEC"/>
    <w:rsid w:val="002D536C"/>
    <w:rsid w:val="002D6E5C"/>
    <w:rsid w:val="002D7595"/>
    <w:rsid w:val="002D7FD1"/>
    <w:rsid w:val="002E119B"/>
    <w:rsid w:val="002E7460"/>
    <w:rsid w:val="002F3AD2"/>
    <w:rsid w:val="002F7376"/>
    <w:rsid w:val="002F7FF3"/>
    <w:rsid w:val="00301907"/>
    <w:rsid w:val="00307909"/>
    <w:rsid w:val="00312A71"/>
    <w:rsid w:val="00315A28"/>
    <w:rsid w:val="00325052"/>
    <w:rsid w:val="00331EE9"/>
    <w:rsid w:val="003341C8"/>
    <w:rsid w:val="00334742"/>
    <w:rsid w:val="00335F93"/>
    <w:rsid w:val="00335FAB"/>
    <w:rsid w:val="0033604D"/>
    <w:rsid w:val="00341480"/>
    <w:rsid w:val="003420BE"/>
    <w:rsid w:val="00342A94"/>
    <w:rsid w:val="00344744"/>
    <w:rsid w:val="00351153"/>
    <w:rsid w:val="00351B79"/>
    <w:rsid w:val="00352999"/>
    <w:rsid w:val="003634B5"/>
    <w:rsid w:val="0037060C"/>
    <w:rsid w:val="00372A29"/>
    <w:rsid w:val="00374343"/>
    <w:rsid w:val="003851B7"/>
    <w:rsid w:val="00392270"/>
    <w:rsid w:val="0039236D"/>
    <w:rsid w:val="00392EE2"/>
    <w:rsid w:val="00393822"/>
    <w:rsid w:val="00397B9D"/>
    <w:rsid w:val="003A1866"/>
    <w:rsid w:val="003A3940"/>
    <w:rsid w:val="003A4E34"/>
    <w:rsid w:val="003A526D"/>
    <w:rsid w:val="003B755D"/>
    <w:rsid w:val="003C3F65"/>
    <w:rsid w:val="003C6F47"/>
    <w:rsid w:val="003C7FB7"/>
    <w:rsid w:val="003D24FD"/>
    <w:rsid w:val="003D3554"/>
    <w:rsid w:val="003E1FEA"/>
    <w:rsid w:val="003E465C"/>
    <w:rsid w:val="003E52E8"/>
    <w:rsid w:val="003F0DAB"/>
    <w:rsid w:val="003F4647"/>
    <w:rsid w:val="003F53F4"/>
    <w:rsid w:val="003F67F3"/>
    <w:rsid w:val="00402C17"/>
    <w:rsid w:val="004049E7"/>
    <w:rsid w:val="0041153B"/>
    <w:rsid w:val="00413D45"/>
    <w:rsid w:val="004143D1"/>
    <w:rsid w:val="0041731E"/>
    <w:rsid w:val="00422BFB"/>
    <w:rsid w:val="004244DF"/>
    <w:rsid w:val="00431826"/>
    <w:rsid w:val="00431A50"/>
    <w:rsid w:val="00433A80"/>
    <w:rsid w:val="004375BF"/>
    <w:rsid w:val="00440988"/>
    <w:rsid w:val="00447CD1"/>
    <w:rsid w:val="00462D97"/>
    <w:rsid w:val="004761AF"/>
    <w:rsid w:val="00482056"/>
    <w:rsid w:val="00482D4C"/>
    <w:rsid w:val="004856FE"/>
    <w:rsid w:val="004878ED"/>
    <w:rsid w:val="00487E3A"/>
    <w:rsid w:val="0049386A"/>
    <w:rsid w:val="004A590A"/>
    <w:rsid w:val="004A5D8D"/>
    <w:rsid w:val="004B1CBC"/>
    <w:rsid w:val="004B3487"/>
    <w:rsid w:val="004B545E"/>
    <w:rsid w:val="004B7BE3"/>
    <w:rsid w:val="004C2CBB"/>
    <w:rsid w:val="004C3DC5"/>
    <w:rsid w:val="004C713D"/>
    <w:rsid w:val="004D2228"/>
    <w:rsid w:val="004D4808"/>
    <w:rsid w:val="004D6467"/>
    <w:rsid w:val="004D692B"/>
    <w:rsid w:val="004E1ECF"/>
    <w:rsid w:val="004E307C"/>
    <w:rsid w:val="004E385F"/>
    <w:rsid w:val="004E6C44"/>
    <w:rsid w:val="004E7C04"/>
    <w:rsid w:val="004E7CA7"/>
    <w:rsid w:val="004F08A6"/>
    <w:rsid w:val="004F5B56"/>
    <w:rsid w:val="00504493"/>
    <w:rsid w:val="0050734E"/>
    <w:rsid w:val="00507946"/>
    <w:rsid w:val="00507A9D"/>
    <w:rsid w:val="005113B4"/>
    <w:rsid w:val="00513B11"/>
    <w:rsid w:val="00520B9B"/>
    <w:rsid w:val="00522E5D"/>
    <w:rsid w:val="00522F9A"/>
    <w:rsid w:val="00524B27"/>
    <w:rsid w:val="00525A59"/>
    <w:rsid w:val="005338FE"/>
    <w:rsid w:val="00533A12"/>
    <w:rsid w:val="0054619D"/>
    <w:rsid w:val="005469C7"/>
    <w:rsid w:val="00560AE9"/>
    <w:rsid w:val="0056620F"/>
    <w:rsid w:val="00567764"/>
    <w:rsid w:val="00570B7F"/>
    <w:rsid w:val="0057662D"/>
    <w:rsid w:val="0057744A"/>
    <w:rsid w:val="005821EA"/>
    <w:rsid w:val="00587C34"/>
    <w:rsid w:val="00594873"/>
    <w:rsid w:val="0059755C"/>
    <w:rsid w:val="00597B7A"/>
    <w:rsid w:val="005A03BD"/>
    <w:rsid w:val="005A0DA7"/>
    <w:rsid w:val="005A14A6"/>
    <w:rsid w:val="005A257F"/>
    <w:rsid w:val="005A261D"/>
    <w:rsid w:val="005A5106"/>
    <w:rsid w:val="005A6CEF"/>
    <w:rsid w:val="005B07F1"/>
    <w:rsid w:val="005B096F"/>
    <w:rsid w:val="005B0C0D"/>
    <w:rsid w:val="005C315A"/>
    <w:rsid w:val="005C3399"/>
    <w:rsid w:val="005C5B10"/>
    <w:rsid w:val="005C73F5"/>
    <w:rsid w:val="005D3845"/>
    <w:rsid w:val="005D4B41"/>
    <w:rsid w:val="005D5B65"/>
    <w:rsid w:val="005D6BD2"/>
    <w:rsid w:val="005D7E7D"/>
    <w:rsid w:val="005E4436"/>
    <w:rsid w:val="005E5641"/>
    <w:rsid w:val="005E612C"/>
    <w:rsid w:val="005F06D1"/>
    <w:rsid w:val="005F631C"/>
    <w:rsid w:val="005F6FEB"/>
    <w:rsid w:val="00602E5F"/>
    <w:rsid w:val="006031CD"/>
    <w:rsid w:val="00603B4D"/>
    <w:rsid w:val="00611993"/>
    <w:rsid w:val="00617849"/>
    <w:rsid w:val="006200EF"/>
    <w:rsid w:val="006211A3"/>
    <w:rsid w:val="00621260"/>
    <w:rsid w:val="00624A56"/>
    <w:rsid w:val="00625550"/>
    <w:rsid w:val="00625907"/>
    <w:rsid w:val="006338CE"/>
    <w:rsid w:val="00633E20"/>
    <w:rsid w:val="00634000"/>
    <w:rsid w:val="00636E5D"/>
    <w:rsid w:val="006371D4"/>
    <w:rsid w:val="0063738B"/>
    <w:rsid w:val="00637701"/>
    <w:rsid w:val="00637EED"/>
    <w:rsid w:val="0064120C"/>
    <w:rsid w:val="00646BBF"/>
    <w:rsid w:val="00646FD5"/>
    <w:rsid w:val="006470B5"/>
    <w:rsid w:val="00647BA0"/>
    <w:rsid w:val="00651C49"/>
    <w:rsid w:val="006605B4"/>
    <w:rsid w:val="0066118E"/>
    <w:rsid w:val="00663870"/>
    <w:rsid w:val="006767B5"/>
    <w:rsid w:val="00676DED"/>
    <w:rsid w:val="00677959"/>
    <w:rsid w:val="006815E5"/>
    <w:rsid w:val="006845B6"/>
    <w:rsid w:val="00687111"/>
    <w:rsid w:val="006935AC"/>
    <w:rsid w:val="00693A33"/>
    <w:rsid w:val="00693CBF"/>
    <w:rsid w:val="006967BD"/>
    <w:rsid w:val="006A1D25"/>
    <w:rsid w:val="006A5851"/>
    <w:rsid w:val="006A65F1"/>
    <w:rsid w:val="006B1453"/>
    <w:rsid w:val="006B1C44"/>
    <w:rsid w:val="006B4328"/>
    <w:rsid w:val="006B5506"/>
    <w:rsid w:val="006B597C"/>
    <w:rsid w:val="006B5B63"/>
    <w:rsid w:val="006C3C49"/>
    <w:rsid w:val="006C418F"/>
    <w:rsid w:val="006C5C70"/>
    <w:rsid w:val="006D14F9"/>
    <w:rsid w:val="006D4A0A"/>
    <w:rsid w:val="006D5DF0"/>
    <w:rsid w:val="006E2480"/>
    <w:rsid w:val="006E56C0"/>
    <w:rsid w:val="006E7E86"/>
    <w:rsid w:val="006F4A93"/>
    <w:rsid w:val="006F61E9"/>
    <w:rsid w:val="0070412F"/>
    <w:rsid w:val="007072A0"/>
    <w:rsid w:val="007074A5"/>
    <w:rsid w:val="0071191F"/>
    <w:rsid w:val="00713783"/>
    <w:rsid w:val="0071454D"/>
    <w:rsid w:val="00716369"/>
    <w:rsid w:val="00720CAB"/>
    <w:rsid w:val="007210C4"/>
    <w:rsid w:val="007300B9"/>
    <w:rsid w:val="00730604"/>
    <w:rsid w:val="00732D3F"/>
    <w:rsid w:val="00737661"/>
    <w:rsid w:val="00742795"/>
    <w:rsid w:val="00743804"/>
    <w:rsid w:val="007443E6"/>
    <w:rsid w:val="007546B0"/>
    <w:rsid w:val="00756E34"/>
    <w:rsid w:val="007617E6"/>
    <w:rsid w:val="00761F6F"/>
    <w:rsid w:val="00762D0E"/>
    <w:rsid w:val="0077073D"/>
    <w:rsid w:val="00770A3E"/>
    <w:rsid w:val="00774F1C"/>
    <w:rsid w:val="00777D38"/>
    <w:rsid w:val="00780F46"/>
    <w:rsid w:val="00791E4E"/>
    <w:rsid w:val="007921A4"/>
    <w:rsid w:val="00795AEA"/>
    <w:rsid w:val="007A5175"/>
    <w:rsid w:val="007A5188"/>
    <w:rsid w:val="007A53FE"/>
    <w:rsid w:val="007B543B"/>
    <w:rsid w:val="007B6622"/>
    <w:rsid w:val="007C367C"/>
    <w:rsid w:val="007C3CC4"/>
    <w:rsid w:val="007C4292"/>
    <w:rsid w:val="007C4C0C"/>
    <w:rsid w:val="007E347B"/>
    <w:rsid w:val="007E479D"/>
    <w:rsid w:val="007E4F7E"/>
    <w:rsid w:val="007F0326"/>
    <w:rsid w:val="007F6AA3"/>
    <w:rsid w:val="007F7821"/>
    <w:rsid w:val="007F7FEC"/>
    <w:rsid w:val="00802365"/>
    <w:rsid w:val="00803E6B"/>
    <w:rsid w:val="0081045B"/>
    <w:rsid w:val="00810578"/>
    <w:rsid w:val="008115E8"/>
    <w:rsid w:val="008117AE"/>
    <w:rsid w:val="00813C88"/>
    <w:rsid w:val="00813EBE"/>
    <w:rsid w:val="00814E01"/>
    <w:rsid w:val="00814F67"/>
    <w:rsid w:val="00832541"/>
    <w:rsid w:val="00832961"/>
    <w:rsid w:val="00832B46"/>
    <w:rsid w:val="008353A4"/>
    <w:rsid w:val="008370B0"/>
    <w:rsid w:val="00837C2E"/>
    <w:rsid w:val="00841FE8"/>
    <w:rsid w:val="0084375D"/>
    <w:rsid w:val="008470AF"/>
    <w:rsid w:val="008474BB"/>
    <w:rsid w:val="0085346F"/>
    <w:rsid w:val="00854521"/>
    <w:rsid w:val="00856FC3"/>
    <w:rsid w:val="008609B6"/>
    <w:rsid w:val="00867C53"/>
    <w:rsid w:val="008816A8"/>
    <w:rsid w:val="0088211E"/>
    <w:rsid w:val="008829DE"/>
    <w:rsid w:val="00885D63"/>
    <w:rsid w:val="008920E8"/>
    <w:rsid w:val="00893555"/>
    <w:rsid w:val="0089535E"/>
    <w:rsid w:val="00896F70"/>
    <w:rsid w:val="008A7C26"/>
    <w:rsid w:val="008B2B52"/>
    <w:rsid w:val="008C0BE7"/>
    <w:rsid w:val="008C0D6D"/>
    <w:rsid w:val="008C25AB"/>
    <w:rsid w:val="008D0ADE"/>
    <w:rsid w:val="008D0C67"/>
    <w:rsid w:val="008D2C9F"/>
    <w:rsid w:val="008D3178"/>
    <w:rsid w:val="008D66B8"/>
    <w:rsid w:val="008E19FF"/>
    <w:rsid w:val="008E24F5"/>
    <w:rsid w:val="008E70D9"/>
    <w:rsid w:val="008F2D26"/>
    <w:rsid w:val="008F3EA2"/>
    <w:rsid w:val="008F5FF3"/>
    <w:rsid w:val="00902F50"/>
    <w:rsid w:val="009049A4"/>
    <w:rsid w:val="009057A4"/>
    <w:rsid w:val="009115E4"/>
    <w:rsid w:val="00917E91"/>
    <w:rsid w:val="00927476"/>
    <w:rsid w:val="009321A2"/>
    <w:rsid w:val="00933431"/>
    <w:rsid w:val="009417A7"/>
    <w:rsid w:val="00942785"/>
    <w:rsid w:val="00943BEA"/>
    <w:rsid w:val="00944C09"/>
    <w:rsid w:val="00950C14"/>
    <w:rsid w:val="009542FD"/>
    <w:rsid w:val="00954AD3"/>
    <w:rsid w:val="0095763B"/>
    <w:rsid w:val="009636ED"/>
    <w:rsid w:val="00970F19"/>
    <w:rsid w:val="009719E7"/>
    <w:rsid w:val="00971D11"/>
    <w:rsid w:val="00972881"/>
    <w:rsid w:val="00974696"/>
    <w:rsid w:val="00974B47"/>
    <w:rsid w:val="00974C67"/>
    <w:rsid w:val="00981BDE"/>
    <w:rsid w:val="00981F6A"/>
    <w:rsid w:val="0098306F"/>
    <w:rsid w:val="00985B2F"/>
    <w:rsid w:val="00986E10"/>
    <w:rsid w:val="00991DAF"/>
    <w:rsid w:val="00994AD0"/>
    <w:rsid w:val="00995191"/>
    <w:rsid w:val="00996B3C"/>
    <w:rsid w:val="009A2D72"/>
    <w:rsid w:val="009A3F2C"/>
    <w:rsid w:val="009A4625"/>
    <w:rsid w:val="009B05BA"/>
    <w:rsid w:val="009B1BD9"/>
    <w:rsid w:val="009C1D4D"/>
    <w:rsid w:val="009D0979"/>
    <w:rsid w:val="009D18CE"/>
    <w:rsid w:val="009D1F44"/>
    <w:rsid w:val="009D63F5"/>
    <w:rsid w:val="009D6FC8"/>
    <w:rsid w:val="009E27F0"/>
    <w:rsid w:val="009E619A"/>
    <w:rsid w:val="009F0C64"/>
    <w:rsid w:val="009F1EFC"/>
    <w:rsid w:val="009F1EFE"/>
    <w:rsid w:val="00A06AF1"/>
    <w:rsid w:val="00A22019"/>
    <w:rsid w:val="00A22D2E"/>
    <w:rsid w:val="00A26FBA"/>
    <w:rsid w:val="00A30E75"/>
    <w:rsid w:val="00A36E3D"/>
    <w:rsid w:val="00A423A0"/>
    <w:rsid w:val="00A42502"/>
    <w:rsid w:val="00A43448"/>
    <w:rsid w:val="00A508BA"/>
    <w:rsid w:val="00A542D8"/>
    <w:rsid w:val="00A552C1"/>
    <w:rsid w:val="00A57B04"/>
    <w:rsid w:val="00A6061B"/>
    <w:rsid w:val="00A6172E"/>
    <w:rsid w:val="00A66FB3"/>
    <w:rsid w:val="00A71651"/>
    <w:rsid w:val="00A7171D"/>
    <w:rsid w:val="00A73508"/>
    <w:rsid w:val="00A77A48"/>
    <w:rsid w:val="00A8077F"/>
    <w:rsid w:val="00A857B6"/>
    <w:rsid w:val="00A87D96"/>
    <w:rsid w:val="00A93353"/>
    <w:rsid w:val="00AA2B20"/>
    <w:rsid w:val="00AA3086"/>
    <w:rsid w:val="00AA3450"/>
    <w:rsid w:val="00AA4883"/>
    <w:rsid w:val="00AB0239"/>
    <w:rsid w:val="00AB0E46"/>
    <w:rsid w:val="00AB1A88"/>
    <w:rsid w:val="00AB6537"/>
    <w:rsid w:val="00AC5E4B"/>
    <w:rsid w:val="00AC7322"/>
    <w:rsid w:val="00AD42D5"/>
    <w:rsid w:val="00AD5024"/>
    <w:rsid w:val="00AE084C"/>
    <w:rsid w:val="00AE188D"/>
    <w:rsid w:val="00AE4615"/>
    <w:rsid w:val="00AF11C3"/>
    <w:rsid w:val="00AF1833"/>
    <w:rsid w:val="00AF37AE"/>
    <w:rsid w:val="00AF5134"/>
    <w:rsid w:val="00AF6091"/>
    <w:rsid w:val="00AF74EB"/>
    <w:rsid w:val="00B0094E"/>
    <w:rsid w:val="00B03EFE"/>
    <w:rsid w:val="00B0509F"/>
    <w:rsid w:val="00B055E8"/>
    <w:rsid w:val="00B10942"/>
    <w:rsid w:val="00B10955"/>
    <w:rsid w:val="00B10CB2"/>
    <w:rsid w:val="00B20033"/>
    <w:rsid w:val="00B22FFF"/>
    <w:rsid w:val="00B23975"/>
    <w:rsid w:val="00B24004"/>
    <w:rsid w:val="00B24140"/>
    <w:rsid w:val="00B24897"/>
    <w:rsid w:val="00B323F3"/>
    <w:rsid w:val="00B324BD"/>
    <w:rsid w:val="00B36074"/>
    <w:rsid w:val="00B40C94"/>
    <w:rsid w:val="00B4105B"/>
    <w:rsid w:val="00B4160E"/>
    <w:rsid w:val="00B4271D"/>
    <w:rsid w:val="00B457BB"/>
    <w:rsid w:val="00B45DA0"/>
    <w:rsid w:val="00B50000"/>
    <w:rsid w:val="00B5174D"/>
    <w:rsid w:val="00B63C85"/>
    <w:rsid w:val="00B72D03"/>
    <w:rsid w:val="00B72DC2"/>
    <w:rsid w:val="00B747CE"/>
    <w:rsid w:val="00B7542E"/>
    <w:rsid w:val="00B7645E"/>
    <w:rsid w:val="00B815EE"/>
    <w:rsid w:val="00B82D78"/>
    <w:rsid w:val="00B84EC0"/>
    <w:rsid w:val="00B87321"/>
    <w:rsid w:val="00B908F1"/>
    <w:rsid w:val="00B90AC9"/>
    <w:rsid w:val="00B91AE7"/>
    <w:rsid w:val="00B95EF9"/>
    <w:rsid w:val="00BA2194"/>
    <w:rsid w:val="00BA46E6"/>
    <w:rsid w:val="00BB3DA1"/>
    <w:rsid w:val="00BB632B"/>
    <w:rsid w:val="00BC36CF"/>
    <w:rsid w:val="00BC3721"/>
    <w:rsid w:val="00BD4552"/>
    <w:rsid w:val="00BD7BD6"/>
    <w:rsid w:val="00BE194B"/>
    <w:rsid w:val="00BE200C"/>
    <w:rsid w:val="00BE3339"/>
    <w:rsid w:val="00BF065C"/>
    <w:rsid w:val="00BF7193"/>
    <w:rsid w:val="00C048CD"/>
    <w:rsid w:val="00C0507A"/>
    <w:rsid w:val="00C07A20"/>
    <w:rsid w:val="00C1432E"/>
    <w:rsid w:val="00C147B6"/>
    <w:rsid w:val="00C209A7"/>
    <w:rsid w:val="00C24265"/>
    <w:rsid w:val="00C3498A"/>
    <w:rsid w:val="00C51B6D"/>
    <w:rsid w:val="00C53323"/>
    <w:rsid w:val="00C56B73"/>
    <w:rsid w:val="00C626D4"/>
    <w:rsid w:val="00C65875"/>
    <w:rsid w:val="00C673A7"/>
    <w:rsid w:val="00C74A43"/>
    <w:rsid w:val="00C76A66"/>
    <w:rsid w:val="00C81640"/>
    <w:rsid w:val="00C81C37"/>
    <w:rsid w:val="00C8278C"/>
    <w:rsid w:val="00C9245E"/>
    <w:rsid w:val="00C949E0"/>
    <w:rsid w:val="00C960C9"/>
    <w:rsid w:val="00CA1BE5"/>
    <w:rsid w:val="00CB54D5"/>
    <w:rsid w:val="00CB61B1"/>
    <w:rsid w:val="00CB623F"/>
    <w:rsid w:val="00CC0C05"/>
    <w:rsid w:val="00CC2594"/>
    <w:rsid w:val="00CC6539"/>
    <w:rsid w:val="00CD0251"/>
    <w:rsid w:val="00CD1636"/>
    <w:rsid w:val="00CD5E30"/>
    <w:rsid w:val="00CE2A37"/>
    <w:rsid w:val="00CF2C3E"/>
    <w:rsid w:val="00CF413F"/>
    <w:rsid w:val="00CF5B8A"/>
    <w:rsid w:val="00D00FF5"/>
    <w:rsid w:val="00D01958"/>
    <w:rsid w:val="00D07F54"/>
    <w:rsid w:val="00D106FF"/>
    <w:rsid w:val="00D14D16"/>
    <w:rsid w:val="00D152A3"/>
    <w:rsid w:val="00D20821"/>
    <w:rsid w:val="00D2699D"/>
    <w:rsid w:val="00D32E6A"/>
    <w:rsid w:val="00D34711"/>
    <w:rsid w:val="00D36699"/>
    <w:rsid w:val="00D37E89"/>
    <w:rsid w:val="00D44F76"/>
    <w:rsid w:val="00D456F6"/>
    <w:rsid w:val="00D51D44"/>
    <w:rsid w:val="00D5415E"/>
    <w:rsid w:val="00D6192B"/>
    <w:rsid w:val="00D62B37"/>
    <w:rsid w:val="00D63EA9"/>
    <w:rsid w:val="00D67472"/>
    <w:rsid w:val="00D70BE3"/>
    <w:rsid w:val="00D742E2"/>
    <w:rsid w:val="00D82A8A"/>
    <w:rsid w:val="00D84443"/>
    <w:rsid w:val="00D86872"/>
    <w:rsid w:val="00D922E2"/>
    <w:rsid w:val="00DA4EB3"/>
    <w:rsid w:val="00DB323A"/>
    <w:rsid w:val="00DB675A"/>
    <w:rsid w:val="00DE0A71"/>
    <w:rsid w:val="00DE2DB9"/>
    <w:rsid w:val="00DE3F34"/>
    <w:rsid w:val="00DF2DC9"/>
    <w:rsid w:val="00DF3CDE"/>
    <w:rsid w:val="00DF6151"/>
    <w:rsid w:val="00E008DD"/>
    <w:rsid w:val="00E0228A"/>
    <w:rsid w:val="00E10F63"/>
    <w:rsid w:val="00E12F40"/>
    <w:rsid w:val="00E16E15"/>
    <w:rsid w:val="00E2501C"/>
    <w:rsid w:val="00E278F3"/>
    <w:rsid w:val="00E355B1"/>
    <w:rsid w:val="00E3675C"/>
    <w:rsid w:val="00E40D88"/>
    <w:rsid w:val="00E415CD"/>
    <w:rsid w:val="00E4583A"/>
    <w:rsid w:val="00E45D8B"/>
    <w:rsid w:val="00E5034D"/>
    <w:rsid w:val="00E506E2"/>
    <w:rsid w:val="00E5262C"/>
    <w:rsid w:val="00E52E3B"/>
    <w:rsid w:val="00E53B79"/>
    <w:rsid w:val="00E55542"/>
    <w:rsid w:val="00E55869"/>
    <w:rsid w:val="00E567ED"/>
    <w:rsid w:val="00E67761"/>
    <w:rsid w:val="00E72A47"/>
    <w:rsid w:val="00E82470"/>
    <w:rsid w:val="00E866C6"/>
    <w:rsid w:val="00E873FB"/>
    <w:rsid w:val="00E9048D"/>
    <w:rsid w:val="00E933BF"/>
    <w:rsid w:val="00E939D6"/>
    <w:rsid w:val="00E93CC6"/>
    <w:rsid w:val="00E9544F"/>
    <w:rsid w:val="00E96136"/>
    <w:rsid w:val="00EA48D2"/>
    <w:rsid w:val="00EA5153"/>
    <w:rsid w:val="00EA5C00"/>
    <w:rsid w:val="00EA66C5"/>
    <w:rsid w:val="00EC0573"/>
    <w:rsid w:val="00EC0FCA"/>
    <w:rsid w:val="00EC5DF1"/>
    <w:rsid w:val="00ED1BA5"/>
    <w:rsid w:val="00ED2FF8"/>
    <w:rsid w:val="00ED4B37"/>
    <w:rsid w:val="00EE1A54"/>
    <w:rsid w:val="00EF380E"/>
    <w:rsid w:val="00EF6C88"/>
    <w:rsid w:val="00F02D13"/>
    <w:rsid w:val="00F03926"/>
    <w:rsid w:val="00F05ACB"/>
    <w:rsid w:val="00F10F62"/>
    <w:rsid w:val="00F142CC"/>
    <w:rsid w:val="00F14F78"/>
    <w:rsid w:val="00F15939"/>
    <w:rsid w:val="00F15C1D"/>
    <w:rsid w:val="00F20FF9"/>
    <w:rsid w:val="00F211C1"/>
    <w:rsid w:val="00F2566C"/>
    <w:rsid w:val="00F2680A"/>
    <w:rsid w:val="00F27DB6"/>
    <w:rsid w:val="00F303D1"/>
    <w:rsid w:val="00F346CE"/>
    <w:rsid w:val="00F4665A"/>
    <w:rsid w:val="00F46BDE"/>
    <w:rsid w:val="00F50C41"/>
    <w:rsid w:val="00F53375"/>
    <w:rsid w:val="00F55EFC"/>
    <w:rsid w:val="00F74BB9"/>
    <w:rsid w:val="00F75434"/>
    <w:rsid w:val="00F76BD4"/>
    <w:rsid w:val="00F83E0D"/>
    <w:rsid w:val="00F84386"/>
    <w:rsid w:val="00F8450A"/>
    <w:rsid w:val="00F878DF"/>
    <w:rsid w:val="00F87E45"/>
    <w:rsid w:val="00F901F1"/>
    <w:rsid w:val="00F91CDC"/>
    <w:rsid w:val="00F93392"/>
    <w:rsid w:val="00F94A14"/>
    <w:rsid w:val="00F95529"/>
    <w:rsid w:val="00F97DF4"/>
    <w:rsid w:val="00FB1810"/>
    <w:rsid w:val="00FB2EF7"/>
    <w:rsid w:val="00FB3039"/>
    <w:rsid w:val="00FB39AB"/>
    <w:rsid w:val="00FB7DD7"/>
    <w:rsid w:val="00FC2A8D"/>
    <w:rsid w:val="00FC31E6"/>
    <w:rsid w:val="00FC4468"/>
    <w:rsid w:val="00FC5DAC"/>
    <w:rsid w:val="00FD0486"/>
    <w:rsid w:val="00FD0DC7"/>
    <w:rsid w:val="00FD22AA"/>
    <w:rsid w:val="00FD40D2"/>
    <w:rsid w:val="00FD441A"/>
    <w:rsid w:val="00FD51E2"/>
    <w:rsid w:val="00FD6191"/>
    <w:rsid w:val="00FD67CF"/>
    <w:rsid w:val="00FE23F7"/>
    <w:rsid w:val="00FE3500"/>
    <w:rsid w:val="00FE5E0E"/>
    <w:rsid w:val="00FE6AC5"/>
    <w:rsid w:val="00FF5D8A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11"/>
  </w:style>
  <w:style w:type="paragraph" w:styleId="Heading1">
    <w:name w:val="heading 1"/>
    <w:basedOn w:val="Normal"/>
    <w:next w:val="Normal"/>
    <w:link w:val="Heading1Char"/>
    <w:uiPriority w:val="9"/>
    <w:qFormat/>
    <w:rsid w:val="00413D4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D4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0A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0A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A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A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A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A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A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D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24"/>
  </w:style>
  <w:style w:type="paragraph" w:styleId="Footer">
    <w:name w:val="footer"/>
    <w:basedOn w:val="Normal"/>
    <w:link w:val="FooterChar"/>
    <w:uiPriority w:val="99"/>
    <w:unhideWhenUsed/>
    <w:rsid w:val="00AD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24"/>
  </w:style>
  <w:style w:type="paragraph" w:styleId="BalloonText">
    <w:name w:val="Balloon Text"/>
    <w:basedOn w:val="Normal"/>
    <w:link w:val="BalloonTextChar"/>
    <w:uiPriority w:val="99"/>
    <w:semiHidden/>
    <w:unhideWhenUsed/>
    <w:rsid w:val="00AD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2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B02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B0239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13D45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3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0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70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8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47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74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74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7472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D456F6"/>
  </w:style>
  <w:style w:type="paragraph" w:styleId="NormalWeb">
    <w:name w:val="Normal (Web)"/>
    <w:basedOn w:val="Normal"/>
    <w:uiPriority w:val="99"/>
    <w:semiHidden/>
    <w:unhideWhenUsed/>
    <w:rsid w:val="00DF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A5153"/>
    <w:pPr>
      <w:spacing w:after="100"/>
      <w:ind w:left="440"/>
    </w:pPr>
  </w:style>
  <w:style w:type="character" w:customStyle="1" w:styleId="itwtqi23ioopmk3o6ert">
    <w:name w:val="itwtqi_23ioopmk3o6ert"/>
    <w:basedOn w:val="DefaultParagraphFont"/>
    <w:rsid w:val="00022ADA"/>
  </w:style>
  <w:style w:type="paragraph" w:customStyle="1" w:styleId="Default">
    <w:name w:val="Default"/>
    <w:rsid w:val="000304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11"/>
  </w:style>
  <w:style w:type="paragraph" w:styleId="Heading1">
    <w:name w:val="heading 1"/>
    <w:basedOn w:val="Normal"/>
    <w:next w:val="Normal"/>
    <w:link w:val="Heading1Char"/>
    <w:uiPriority w:val="9"/>
    <w:qFormat/>
    <w:rsid w:val="00413D4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D4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0A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0A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A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A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A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A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A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D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24"/>
  </w:style>
  <w:style w:type="paragraph" w:styleId="Footer">
    <w:name w:val="footer"/>
    <w:basedOn w:val="Normal"/>
    <w:link w:val="FooterChar"/>
    <w:uiPriority w:val="99"/>
    <w:unhideWhenUsed/>
    <w:rsid w:val="00AD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24"/>
  </w:style>
  <w:style w:type="paragraph" w:styleId="BalloonText">
    <w:name w:val="Balloon Text"/>
    <w:basedOn w:val="Normal"/>
    <w:link w:val="BalloonTextChar"/>
    <w:uiPriority w:val="99"/>
    <w:semiHidden/>
    <w:unhideWhenUsed/>
    <w:rsid w:val="00AD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2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B02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B0239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13D45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3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0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70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8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47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74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74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7472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D456F6"/>
  </w:style>
  <w:style w:type="paragraph" w:styleId="NormalWeb">
    <w:name w:val="Normal (Web)"/>
    <w:basedOn w:val="Normal"/>
    <w:uiPriority w:val="99"/>
    <w:semiHidden/>
    <w:unhideWhenUsed/>
    <w:rsid w:val="00DF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A5153"/>
    <w:pPr>
      <w:spacing w:after="100"/>
      <w:ind w:left="440"/>
    </w:pPr>
  </w:style>
  <w:style w:type="character" w:customStyle="1" w:styleId="itwtqi23ioopmk3o6ert">
    <w:name w:val="itwtqi_23ioopmk3o6ert"/>
    <w:basedOn w:val="DefaultParagraphFont"/>
    <w:rsid w:val="00022ADA"/>
  </w:style>
  <w:style w:type="paragraph" w:customStyle="1" w:styleId="Default">
    <w:name w:val="Default"/>
    <w:rsid w:val="000304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7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3F939-C31B-43A2-83E2-5B16A45E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Shanthosh S</dc:creator>
  <cp:lastModifiedBy>Sivanandhini Varatharajan</cp:lastModifiedBy>
  <cp:revision>1254</cp:revision>
  <cp:lastPrinted>2020-12-24T17:38:00Z</cp:lastPrinted>
  <dcterms:created xsi:type="dcterms:W3CDTF">2017-10-12T04:32:00Z</dcterms:created>
  <dcterms:modified xsi:type="dcterms:W3CDTF">2021-01-24T16:11:00Z</dcterms:modified>
</cp:coreProperties>
</file>