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001D6C" w:val="clear"/>
            <w:tcMar>
              <w:top w:type="dxa" w:w="300"/>
              <w:left w:type="dxa" w:w="300"/>
              <w:bottom w:type="dxa" w:w="300"/>
              <w:right w:type="dxa" w:w="300"/>
            </w:tcMar>
            <w:vAlign w:val="center"/>
          </w:tcPr>
          <w:p>
            <w:pPr>
              <w:spacing w:after="120"/>
            </w:pPr>
            <w:r>
              <w:rPr>
                <w:b/>
                <w:bCs/>
                <w:color w:val="A6C8FF"/>
                <w:sz w:val="18"/>
                <w:szCs w:val="18"/>
              </w:rPr>
              <w:t xml:space="preserve">AICTE  •  IBM  •  EDUNET FOUNDATION  •  BANK OF BARODA</w:t>
            </w:r>
          </w:p>
          <w:p>
            <w:pPr>
              <w:spacing w:after="100"/>
            </w:pPr>
            <w:r>
              <w:rPr>
                <w:b/>
                <w:bCs/>
                <w:color w:val="FFFFFF"/>
                <w:sz w:val="40"/>
                <w:szCs w:val="40"/>
              </w:rPr>
              <w:t xml:space="preserve">My Journey Building the AI Interview Trainer Agent</w:t>
            </w:r>
          </w:p>
          <w:p>
            <w:r>
              <w:rPr>
                <w:i/>
                <w:iCs/>
                <w:color w:val="D0E2FF"/>
                <w:sz w:val="22"/>
                <w:szCs w:val="22"/>
              </w:rPr>
              <w:t xml:space="preserve">A reflection on my experience with IBM Granite, IBM Bob, and Agentic AI</w:t>
            </w:r>
          </w:p>
        </w:tc>
      </w:tr>
    </w:tbl>
    <w:p>
      <w:pPr>
        <w:spacing w:after="200"/>
      </w:pPr>
    </w:p>
    <w:p>
      <w:pPr>
        <w:spacing w:after="200" w:line="340"/>
        <w:jc w:val="both"/>
      </w:pPr>
      <w:r>
        <w:rPr>
          <w:color w:val="24243E"/>
          <w:sz w:val="22"/>
          <w:szCs w:val="22"/>
        </w:rPr>
        <w:t xml:space="preserve">When I enrolled in the AICTE–IBM–Edunet Foundation AI internship, I wanted more than just another certificate — I wanted to build something that actually solved a problem I had seen people around me struggle with: interview preparation. That is exactly what this program gave me the space and tools to do.</w:t>
      </w:r>
    </w:p>
    <w:p>
      <w:pPr>
        <w:spacing w:after="200" w:line="340"/>
        <w:jc w:val="both"/>
      </w:pPr>
      <w:r>
        <w:rPr>
          <w:color w:val="24243E"/>
          <w:sz w:val="22"/>
          <w:szCs w:val="22"/>
        </w:rPr>
        <w:t xml:space="preserve">My project, the AI Interview Trainer Agent, started from a simple observation. Job seekers I know — classmates, seniors, and friends preparing for placements — were spending hours jumping between YouTube videos, random PDFs, and generic question banks, none of which were tailored to their actual resume, experience level, or target role. I wanted to fix that using Agentic AI, and this internship gave me the exact stack to do it: IBM Bob for orchestrating the workflow, IBM Granite through IBM watsonx.ai for the language intelligence, and a Retrieval-Augmented Generation (RAG) pipeline to keep every response grounded in real interview knowledge instead of generic AI guesses.</w:t>
      </w:r>
    </w:p>
    <w:p>
      <w:pPr>
        <w:spacing w:after="200" w:line="340"/>
        <w:jc w:val="both"/>
      </w:pPr>
      <w:r>
        <w:rPr>
          <w:color w:val="24243E"/>
          <w:sz w:val="22"/>
          <w:szCs w:val="22"/>
        </w:rPr>
        <w:t xml:space="preserve">Working with IBM Bob for the first time changed how I think about building AI applications. Instead of manually wiring every function together, I learned to describe intent and let the agentic workflow orchestrate the pieces — profiling the candidate, retrieving relevant knowledge through RAG, generating role-specific questions, evaluating answers, and producing feedback — all as coordinated agents rather than one monolithic script. Designing the four core agents (Interview Question Agent, Answer Evaluation Agent, Interview Guidance Agent, and RAG Knowledge Agent) taught me how real multi-agent systems are structured, and how much cleaner the output becomes when each agent has one clear responsibility.</w:t>
      </w:r>
    </w:p>
    <w:p>
      <w:pPr>
        <w:spacing w:after="200" w:line="340"/>
        <w:jc w:val="both"/>
      </w:pPr>
      <w:r>
        <w:rPr>
          <w:color w:val="24243E"/>
          <w:sz w:val="22"/>
          <w:szCs w:val="22"/>
        </w:rPr>
        <w:t xml:space="preserve">The RAG pipeline itself was the most technically demanding part of the project. I built a knowledge base of technical questions, behavioral scenarios, and HR guidance, embedded it, and stored it in a ChromaDB + SQLite vector store so the agent could retrieve context before generating any response. Watching the quality of the generated questions improve once retrieval was grounded in real data — instead of the model simply hallucinating generic interview questions — was one of the most satisfying debugging moments of the whole internship.</w:t>
      </w:r>
    </w:p>
    <w:p>
      <w:pPr>
        <w:spacing w:after="200" w:line="340"/>
        <w:jc w:val="both"/>
      </w:pPr>
      <w:r>
        <w:rPr>
          <w:color w:val="24243E"/>
          <w:sz w:val="22"/>
          <w:szCs w:val="22"/>
        </w:rPr>
        <w:t xml:space="preserve">Beyond the technical build, this project taught me how to think about a solution end-to-end: from identifying a genuine problem, to designing an architecture around IBM's Granite models, to building a usable web interface where a candidate can enter their profile, practice an interview, and get immediate, personalized feedback — all in one continuous flow.</w:t>
      </w:r>
    </w:p>
    <w:p>
      <w:pPr>
        <w:spacing w:after="200" w:line="340"/>
        <w:jc w:val="both"/>
      </w:pPr>
      <w:r>
        <w:rPr>
          <w:color w:val="24243E"/>
          <w:sz w:val="22"/>
          <w:szCs w:val="22"/>
        </w:rPr>
        <w:t xml:space="preserve">I am submitting this testimonial as a genuine reflection of my experience: this internship gave me hands-on exposure to enterprise-grade AI tools that most students only read about, and it pushed me to build something that could realistically help someone walk into an interview more prepared and more confident. I am proud of what I built, grateful for the guidance from the AICTE–IBM–Edunet Foundation program, and excited to keep extending this project further — including multilingual support, voice-based practice, and deeper resume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c>
          <w:tcPr>
            <w:tcW w:type="dxa" w:w="2500"/>
            <w:shd w:fill="EDF5FF" w:val="clear"/>
            <w:tcMar>
              <w:top w:type="dxa" w:w="150"/>
              <w:left w:type="dxa" w:w="100"/>
              <w:bottom w:type="dxa" w:w="150"/>
              <w:right w:type="dxa" w:w="100"/>
            </w:tcMar>
          </w:tcPr>
          <w:p>
            <w:pPr>
              <w:spacing w:after="60"/>
              <w:jc w:val="center"/>
            </w:pPr>
            <w:r>
              <w:rPr>
                <w:b/>
                <w:bCs/>
                <w:color w:val="0F62FE"/>
                <w:sz w:val="26"/>
                <w:szCs w:val="26"/>
              </w:rPr>
              <w:t xml:space="preserve">4</w:t>
            </w:r>
          </w:p>
          <w:p>
            <w:pPr>
              <w:jc w:val="center"/>
            </w:pPr>
            <w:r>
              <w:rPr>
                <w:color w:val="5C5C70"/>
                <w:sz w:val="15"/>
                <w:szCs w:val="15"/>
              </w:rPr>
              <w:t xml:space="preserve">Specialized AI Agents</w:t>
            </w:r>
          </w:p>
        </w:tc>
        <w:tc>
          <w:tcPr>
            <w:tcW w:type="dxa" w:w="2500"/>
            <w:shd w:fill="EDF5FF" w:val="clear"/>
            <w:tcMar>
              <w:top w:type="dxa" w:w="150"/>
              <w:left w:type="dxa" w:w="100"/>
              <w:bottom w:type="dxa" w:w="150"/>
              <w:right w:type="dxa" w:w="100"/>
            </w:tcMar>
          </w:tcPr>
          <w:p>
            <w:pPr>
              <w:spacing w:after="60"/>
              <w:jc w:val="center"/>
            </w:pPr>
            <w:r>
              <w:rPr>
                <w:b/>
                <w:bCs/>
                <w:color w:val="0F62FE"/>
                <w:sz w:val="26"/>
                <w:szCs w:val="26"/>
              </w:rPr>
              <w:t xml:space="preserve">RAG</w:t>
            </w:r>
          </w:p>
          <w:p>
            <w:pPr>
              <w:jc w:val="center"/>
            </w:pPr>
            <w:r>
              <w:rPr>
                <w:color w:val="5C5C70"/>
                <w:sz w:val="15"/>
                <w:szCs w:val="15"/>
              </w:rPr>
              <w:t xml:space="preserve">Knowledge-Grounded AI</w:t>
            </w:r>
          </w:p>
        </w:tc>
        <w:tc>
          <w:tcPr>
            <w:tcW w:type="dxa" w:w="2500"/>
            <w:shd w:fill="EDF5FF" w:val="clear"/>
            <w:tcMar>
              <w:top w:type="dxa" w:w="150"/>
              <w:left w:type="dxa" w:w="100"/>
              <w:bottom w:type="dxa" w:w="150"/>
              <w:right w:type="dxa" w:w="100"/>
            </w:tcMar>
          </w:tcPr>
          <w:p>
            <w:pPr>
              <w:spacing w:after="60"/>
              <w:jc w:val="center"/>
            </w:pPr>
            <w:r>
              <w:rPr>
                <w:b/>
                <w:bCs/>
                <w:color w:val="0F62FE"/>
                <w:sz w:val="26"/>
                <w:szCs w:val="26"/>
              </w:rPr>
              <w:t xml:space="preserve">IBM</w:t>
            </w:r>
          </w:p>
          <w:p>
            <w:pPr>
              <w:jc w:val="center"/>
            </w:pPr>
            <w:r>
              <w:rPr>
                <w:color w:val="5C5C70"/>
                <w:sz w:val="15"/>
                <w:szCs w:val="15"/>
              </w:rPr>
              <w:t xml:space="preserve">Granite + watsonx.ai</w:t>
            </w:r>
          </w:p>
        </w:tc>
        <w:tc>
          <w:tcPr>
            <w:tcW w:type="dxa" w:w="2500"/>
            <w:shd w:fill="EDF5FF" w:val="clear"/>
            <w:tcMar>
              <w:top w:type="dxa" w:w="150"/>
              <w:left w:type="dxa" w:w="100"/>
              <w:bottom w:type="dxa" w:w="150"/>
              <w:right w:type="dxa" w:w="100"/>
            </w:tcMar>
          </w:tcPr>
          <w:p>
            <w:pPr>
              <w:spacing w:after="60"/>
              <w:jc w:val="center"/>
            </w:pPr>
            <w:r>
              <w:rPr>
                <w:b/>
                <w:bCs/>
                <w:color w:val="0F62FE"/>
                <w:sz w:val="26"/>
                <w:szCs w:val="26"/>
              </w:rPr>
              <w:t xml:space="preserve">1,97,435</w:t>
            </w:r>
          </w:p>
          <w:p>
            <w:pPr>
              <w:jc w:val="center"/>
            </w:pPr>
            <w:r>
              <w:rPr>
                <w:color w:val="5C5C70"/>
                <w:sz w:val="15"/>
                <w:szCs w:val="15"/>
              </w:rPr>
              <w:t xml:space="preserve">Tokens Used (IBM Bob)</w:t>
            </w:r>
          </w:p>
        </w:tc>
      </w:tr>
    </w:tbl>
    <w:p>
      <w:pPr>
        <w:pBdr>
          <w:left w:val="single" w:color="0F62FE" w:sz="24" w:space="8"/>
        </w:pBdr>
        <w:spacing w:after="150" w:before="300"/>
      </w:pPr>
      <w:r>
        <w:rPr>
          <w:b/>
          <w:bCs/>
          <w:color w:val="0043CE"/>
          <w:sz w:val="20"/>
          <w:szCs w:val="20"/>
        </w:rPr>
        <w:t xml:space="preserve">KEY SKILLS GAINED</w:t>
      </w:r>
    </w:p>
    <w:p>
      <w:pPr>
        <w:spacing w:after="200"/>
      </w:pPr>
      <w:r>
        <w:rPr>
          <w:b/>
          <w:bCs/>
          <w:color w:val="0043CE"/>
          <w:sz w:val="18"/>
          <w:szCs w:val="18"/>
        </w:rPr>
        <w:t xml:space="preserve">  Agentic AI Design  </w:t>
      </w:r>
      <w:r>
        <w:rPr>
          <w:b/>
          <w:bCs/>
          <w:color w:val="0043CE"/>
          <w:sz w:val="18"/>
          <w:szCs w:val="18"/>
        </w:rPr>
        <w:t xml:space="preserve">  IBM Bob  </w:t>
      </w:r>
      <w:r>
        <w:rPr>
          <w:b/>
          <w:bCs/>
          <w:color w:val="0043CE"/>
          <w:sz w:val="18"/>
          <w:szCs w:val="18"/>
        </w:rPr>
        <w:t xml:space="preserve">  IBM Granite  </w:t>
      </w:r>
      <w:r>
        <w:rPr>
          <w:b/>
          <w:bCs/>
          <w:color w:val="0043CE"/>
          <w:sz w:val="18"/>
          <w:szCs w:val="18"/>
        </w:rPr>
        <w:t xml:space="preserve">  IBM watsonx.ai  </w:t>
      </w:r>
      <w:r>
        <w:rPr>
          <w:b/>
          <w:bCs/>
          <w:color w:val="0043CE"/>
          <w:sz w:val="18"/>
          <w:szCs w:val="18"/>
        </w:rPr>
        <w:t xml:space="preserve">  RAG Pipelines  </w:t>
      </w:r>
      <w:r>
        <w:rPr>
          <w:b/>
          <w:bCs/>
          <w:color w:val="0043CE"/>
          <w:sz w:val="18"/>
          <w:szCs w:val="18"/>
        </w:rPr>
        <w:t xml:space="preserve">  Vector Databases (ChromaDB)  </w:t>
      </w:r>
      <w:r>
        <w:rPr>
          <w:b/>
          <w:bCs/>
          <w:color w:val="0043CE"/>
          <w:sz w:val="18"/>
          <w:szCs w:val="18"/>
        </w:rPr>
        <w:t xml:space="preserve">  Python Backend Development  </w:t>
      </w:r>
      <w:r>
        <w:rPr>
          <w:b/>
          <w:bCs/>
          <w:color w:val="0043CE"/>
          <w:sz w:val="18"/>
          <w:szCs w:val="18"/>
        </w:rPr>
        <w:t xml:space="preserve">  Prompt Engineering  </w:t>
      </w:r>
      <w:r>
        <w:rPr>
          <w:b/>
          <w:bCs/>
          <w:color w:val="0043CE"/>
          <w:sz w:val="18"/>
          <w:szCs w:val="18"/>
        </w:rPr>
        <w:t xml:space="preserve">  End-to-End Product Thinking  </w:t>
      </w:r>
    </w:p>
    <w:p>
      <w:pPr>
        <w:pBdr>
          <w:top w:val="single" w:color="D0D9E8" w:sz="6" w:space="8"/>
        </w:pBdr>
        <w:spacing w:before="300"/>
      </w:pPr>
    </w:p>
    <w:p>
      <w:pPr>
        <w:spacing w:after="40" w:before="200"/>
      </w:pPr>
      <w:r>
        <w:rPr>
          <w:b/>
          <w:bCs/>
          <w:i/>
          <w:iCs/>
          <w:color w:val="001D6C"/>
          <w:sz w:val="30"/>
          <w:szCs w:val="30"/>
        </w:rPr>
        <w:t xml:space="preserve">Sivanesh K</w:t>
      </w:r>
    </w:p>
    <w:p>
      <w:pPr>
        <w:spacing w:after="40"/>
      </w:pPr>
      <w:r>
        <w:rPr>
          <w:color w:val="5C5C70"/>
          <w:sz w:val="18"/>
          <w:szCs w:val="18"/>
        </w:rPr>
        <w:t xml:space="preserve">B.Tech Artificial Intelligence &amp; Data Science</w:t>
      </w:r>
    </w:p>
    <w:p>
      <w:pPr>
        <w:spacing w:after="40"/>
      </w:pPr>
      <w:r>
        <w:rPr>
          <w:color w:val="5C5C70"/>
          <w:sz w:val="18"/>
          <w:szCs w:val="18"/>
        </w:rPr>
        <w:t xml:space="preserve">J.J. College of Engineering and Technology, Tamil Nadu</w:t>
      </w:r>
    </w:p>
    <w:p>
      <w:pPr>
        <w:spacing w:after="40"/>
      </w:pPr>
      <w:r>
        <w:rPr>
          <w:color w:val="5C5C70"/>
          <w:sz w:val="18"/>
          <w:szCs w:val="18"/>
        </w:rPr>
        <w:t xml:space="preserve">GitHub: github.com/sivaneshk23/AI-Interview-Coach</w:t>
      </w:r>
    </w:p>
    <w:p>
      <w:pPr>
        <w:spacing w:before="100"/>
      </w:pPr>
      <w:r>
        <w:rPr>
          <w:i/>
          <w:iCs/>
          <w:color w:val="5C5C70"/>
          <w:sz w:val="16"/>
          <w:szCs w:val="16"/>
        </w:rPr>
        <w:t xml:space="preserve">Project: AI Interview Trainer Agent   |   Program: AICTE • IBM • Edunet Foundation • Bank of Baroda   |   Domain: Artificial Intelligence &amp; Generative AI</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5C70"/>
        <w:sz w:val="16"/>
        <w:szCs w:val="16"/>
      </w:rPr>
      <w:t xml:space="preserve">Sivanesh K   |   Page </w:t>
    </w:r>
    <w:r>
      <w:rPr>
        <w:color w:val="5C5C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C5C70"/>
        <w:sz w:val="16"/>
        <w:szCs w:val="16"/>
      </w:rPr>
      <w:t xml:space="preserve">Student Testimonial — AI Interview Trainer Agent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2026-09-11T06:14:07.072Z</dcterms:created>
  <dcterms:modified xsi:type="dcterms:W3CDTF">2026-09-11T06:14:07.080Z</dcterms:modified>
</cp:coreProperties>
</file>

<file path=docProps/custom.xml><?xml version="1.0" encoding="utf-8"?>
<Properties xmlns="http://schemas.openxmlformats.org/officeDocument/2006/custom-properties" xmlns:vt="http://schemas.openxmlformats.org/officeDocument/2006/docPropsVTypes"/>
</file>