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Apollo Trade Processing System - Capacity Plan (v3.0)</w:t>
      </w:r>
    </w:p>
    <w:p>
      <w:pPr>
        <w:pStyle w:val="Heading2"/>
      </w:pPr>
      <w:r>
        <w:t>Document Header</w:t>
      </w:r>
    </w:p>
    <w:p>
      <w:r>
        <w:t>Application ID: EQTRADE-APOLLO</w:t>
      </w:r>
    </w:p>
    <w:p>
      <w:r>
        <w:t>Application Name: Apollo Trade Processing System</w:t>
      </w:r>
    </w:p>
    <w:p>
      <w:r>
        <w:t>Business Criticality: Tier 1 – Business Critical</w:t>
      </w:r>
    </w:p>
    <w:p>
      <w:r>
        <w:t>Client Segment: Corporate &amp; Institutional Banking</w:t>
      </w:r>
    </w:p>
    <w:p>
      <w:r>
        <w:t>Owner / Approver: DevOps Platform Team, Infra Head, Domain Service Owner</w:t>
      </w:r>
    </w:p>
    <w:p>
      <w:r>
        <w:t>Validity: Valid From Oct 2025 | Next Review Oct 2026 | Frequency – Annual</w:t>
      </w:r>
    </w:p>
    <w:p>
      <w:r>
        <w:t>Service Mapped to IBS: Yes</w:t>
      </w:r>
    </w:p>
    <w:p>
      <w:pPr>
        <w:pStyle w:val="Heading2"/>
      </w:pPr>
      <w:r>
        <w:t>1. Introduction</w:t>
      </w:r>
    </w:p>
    <w:p>
      <w:r>
        <w:t>This plan defines the capacity strategy for Apollo, ensuring performance and availability targets are maintained across application, database, and web tiers in alignment with NFRs.</w:t>
      </w:r>
    </w:p>
    <w:p>
      <w:pPr>
        <w:pStyle w:val="Heading3"/>
      </w:pPr>
      <w:r>
        <w:t>1.2 Non-Functional Requirements (NFR) Details</w:t>
      </w:r>
    </w:p>
    <w:p>
      <w:r>
        <w:t>NFR ID / Link: NFR-APOLLO-2024-02</w:t>
      </w:r>
    </w:p>
    <w:p>
      <w:r>
        <w:t>Targets: CPU ≤ 80 %, Memory ≤ 75 %, Response ≤ 2 seconds.</w:t>
      </w:r>
    </w:p>
    <w:p>
      <w:pPr>
        <w:pStyle w:val="Heading3"/>
      </w:pPr>
      <w:r>
        <w:t>1.3 Scope</w:t>
      </w:r>
    </w:p>
    <w:p>
      <w:r>
        <w:t>Service Overview: Apollo is a middleware-based trade processing platform handling equities and derivatives transactions for internal and external desks.</w:t>
      </w:r>
    </w:p>
    <w:p>
      <w:r>
        <w:t>Service Dependants: Upstream – EQTrade Gateway, Market Data Feed | Downstream – TSS (Trade Settlement System), Reporting DB.</w:t>
      </w:r>
    </w:p>
    <w:p>
      <w:r>
        <w:t>Capacity Monitoring: Grafana, Prometheus, and AppDynamics monitor CPU, Memory, Disk I/O, and TPS.</w:t>
      </w:r>
    </w:p>
    <w:p>
      <w:pPr>
        <w:pStyle w:val="Heading3"/>
      </w:pPr>
      <w:r>
        <w:t>1.4 Infrastructure Components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S/No</w:t>
            </w:r>
          </w:p>
        </w:tc>
        <w:tc>
          <w:tcPr>
            <w:tcW w:type="dxa" w:w="1728"/>
          </w:tcPr>
          <w:p>
            <w:r>
              <w:t>Servers / CIs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Hosting Model</w:t>
            </w:r>
          </w:p>
        </w:tc>
        <w:tc>
          <w:tcPr>
            <w:tcW w:type="dxa" w:w="1728"/>
          </w:tcPr>
          <w:p>
            <w:r>
              <w:t>Data Centre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APOLLO-APP01/02</w:t>
            </w:r>
          </w:p>
        </w:tc>
        <w:tc>
          <w:tcPr>
            <w:tcW w:type="dxa" w:w="1728"/>
          </w:tcPr>
          <w:p>
            <w:r>
              <w:t>Java Application Servers</w:t>
            </w:r>
          </w:p>
        </w:tc>
        <w:tc>
          <w:tcPr>
            <w:tcW w:type="dxa" w:w="1728"/>
          </w:tcPr>
          <w:p>
            <w:r>
              <w:t>On-Prem</w:t>
            </w:r>
          </w:p>
        </w:tc>
        <w:tc>
          <w:tcPr>
            <w:tcW w:type="dxa" w:w="1728"/>
          </w:tcPr>
          <w:p>
            <w:r>
              <w:t>GDC East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APOLLO-DB01</w:t>
            </w:r>
          </w:p>
        </w:tc>
        <w:tc>
          <w:tcPr>
            <w:tcW w:type="dxa" w:w="1728"/>
          </w:tcPr>
          <w:p>
            <w:r>
              <w:t>Oracle 19c RAC Primary</w:t>
            </w:r>
          </w:p>
        </w:tc>
        <w:tc>
          <w:tcPr>
            <w:tcW w:type="dxa" w:w="1728"/>
          </w:tcPr>
          <w:p>
            <w:r>
              <w:t>On-Prem</w:t>
            </w:r>
          </w:p>
        </w:tc>
        <w:tc>
          <w:tcPr>
            <w:tcW w:type="dxa" w:w="1728"/>
          </w:tcPr>
          <w:p>
            <w:r>
              <w:t>GDC East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APOLLO-WEB01</w:t>
            </w:r>
          </w:p>
        </w:tc>
        <w:tc>
          <w:tcPr>
            <w:tcW w:type="dxa" w:w="1728"/>
          </w:tcPr>
          <w:p>
            <w:r>
              <w:t>NGINX Frontend</w:t>
            </w:r>
          </w:p>
        </w:tc>
        <w:tc>
          <w:tcPr>
            <w:tcW w:type="dxa" w:w="1728"/>
          </w:tcPr>
          <w:p>
            <w:r>
              <w:t>On-Prem</w:t>
            </w:r>
          </w:p>
        </w:tc>
        <w:tc>
          <w:tcPr>
            <w:tcW w:type="dxa" w:w="1728"/>
          </w:tcPr>
          <w:p>
            <w:r>
              <w:t>GDC East</w:t>
            </w:r>
          </w:p>
        </w:tc>
      </w:tr>
    </w:tbl>
    <w:p>
      <w:pPr>
        <w:pStyle w:val="Heading3"/>
      </w:pPr>
      <w:r>
        <w:t>1.5 Capacity Forecast Inputs</w:t>
      </w:r>
    </w:p>
    <w:p>
      <w:r>
        <w:t>Business Forecast: Yes (20 % growth FY25/26)</w:t>
      </w:r>
    </w:p>
    <w:p>
      <w:r>
        <w:t>Workload Forecast: Yes (Historical +15 % trend)</w:t>
      </w:r>
    </w:p>
    <w:p>
      <w:r>
        <w:t>Seasonal Events: Yes (Quarter-end and year-end spikes +30 %)</w:t>
      </w:r>
    </w:p>
    <w:p>
      <w:pPr>
        <w:pStyle w:val="Heading2"/>
      </w:pPr>
      <w:r>
        <w:t>2. Capacity Analysis</w:t>
      </w:r>
    </w:p>
    <w:p>
      <w:r>
        <w:t>User Workload: 1200 total users; 150 concurrent users.</w:t>
      </w:r>
    </w:p>
    <w:p>
      <w:r>
        <w:t>Transactional Workload: Avg 20 TPS; Peak 50 TPS during market open.</w:t>
      </w:r>
    </w:p>
    <w:p>
      <w:r>
        <w:t>Batch Workload: 4 nightly reconciliation jobs (~3 hours each).</w:t>
      </w:r>
    </w:p>
    <w:p>
      <w:r>
        <w:t>API Workload: 8 endpoints with &lt;2s response time, peak 250 req/min.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Component</w:t>
            </w:r>
          </w:p>
        </w:tc>
        <w:tc>
          <w:tcPr>
            <w:tcW w:type="dxa" w:w="2160"/>
          </w:tcPr>
          <w:p>
            <w:r>
              <w:t>Baseline Utilization</w:t>
            </w:r>
          </w:p>
        </w:tc>
        <w:tc>
          <w:tcPr>
            <w:tcW w:type="dxa" w:w="2160"/>
          </w:tcPr>
          <w:p>
            <w:r>
              <w:t>Alert Threshold</w:t>
            </w:r>
          </w:p>
        </w:tc>
        <w:tc>
          <w:tcPr>
            <w:tcW w:type="dxa" w:w="2160"/>
          </w:tcPr>
          <w:p>
            <w:r>
              <w:t>Comments</w:t>
            </w:r>
          </w:p>
        </w:tc>
      </w:tr>
      <w:tr>
        <w:tc>
          <w:tcPr>
            <w:tcW w:type="dxa" w:w="2160"/>
          </w:tcPr>
          <w:p>
            <w:r>
              <w:t>App Server</w:t>
            </w:r>
          </w:p>
        </w:tc>
        <w:tc>
          <w:tcPr>
            <w:tcW w:type="dxa" w:w="2160"/>
          </w:tcPr>
          <w:p>
            <w:r>
              <w:t>CPU 48 %, MEM 71 %, Storage 62 %</w:t>
            </w:r>
          </w:p>
        </w:tc>
        <w:tc>
          <w:tcPr>
            <w:tcW w:type="dxa" w:w="2160"/>
          </w:tcPr>
          <w:p>
            <w:r>
              <w:t>80 %</w:t>
            </w:r>
          </w:p>
        </w:tc>
        <w:tc>
          <w:tcPr>
            <w:tcW w:type="dxa" w:w="2160"/>
          </w:tcPr>
          <w:p>
            <w:r>
              <w:t>Stable</w:t>
            </w:r>
          </w:p>
        </w:tc>
      </w:tr>
      <w:tr>
        <w:tc>
          <w:tcPr>
            <w:tcW w:type="dxa" w:w="2160"/>
          </w:tcPr>
          <w:p>
            <w:r>
              <w:t>DB Server</w:t>
            </w:r>
          </w:p>
        </w:tc>
        <w:tc>
          <w:tcPr>
            <w:tcW w:type="dxa" w:w="2160"/>
          </w:tcPr>
          <w:p>
            <w:r>
              <w:t>CPU 52 %, MEM 65 %, Storage 68 %</w:t>
            </w:r>
          </w:p>
        </w:tc>
        <w:tc>
          <w:tcPr>
            <w:tcW w:type="dxa" w:w="2160"/>
          </w:tcPr>
          <w:p>
            <w:r>
              <w:t>80 %</w:t>
            </w:r>
          </w:p>
        </w:tc>
        <w:tc>
          <w:tcPr>
            <w:tcW w:type="dxa" w:w="2160"/>
          </w:tcPr>
          <w:p>
            <w:r>
              <w:t>Healthy</w:t>
            </w:r>
          </w:p>
        </w:tc>
      </w:tr>
      <w:tr>
        <w:tc>
          <w:tcPr>
            <w:tcW w:type="dxa" w:w="2160"/>
          </w:tcPr>
          <w:p>
            <w:r>
              <w:t>Web Server</w:t>
            </w:r>
          </w:p>
        </w:tc>
        <w:tc>
          <w:tcPr>
            <w:tcW w:type="dxa" w:w="2160"/>
          </w:tcPr>
          <w:p>
            <w:r>
              <w:t>CPU 38 %, MEM 57 %, Storage 54 %</w:t>
            </w:r>
          </w:p>
        </w:tc>
        <w:tc>
          <w:tcPr>
            <w:tcW w:type="dxa" w:w="2160"/>
          </w:tcPr>
          <w:p>
            <w:r>
              <w:t>80 %</w:t>
            </w:r>
          </w:p>
        </w:tc>
        <w:tc>
          <w:tcPr>
            <w:tcW w:type="dxa" w:w="2160"/>
          </w:tcPr>
          <w:p>
            <w:r>
              <w:t>Healthy</w:t>
            </w:r>
          </w:p>
        </w:tc>
      </w:tr>
    </w:tbl>
    <w:p>
      <w:r>
        <w:t>Production and DR environments have identical configurations (Active-Active) hosted at GDC East.</w:t>
      </w:r>
    </w:p>
    <w:p>
      <w:pPr>
        <w:pStyle w:val="Heading2"/>
      </w:pPr>
      <w:r>
        <w:t>3. Detailed Capacity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Component</w:t>
            </w:r>
          </w:p>
        </w:tc>
        <w:tc>
          <w:tcPr>
            <w:tcW w:type="dxa" w:w="1440"/>
          </w:tcPr>
          <w:p>
            <w:r>
              <w:t>Resource / Service</w:t>
            </w:r>
          </w:p>
        </w:tc>
        <w:tc>
          <w:tcPr>
            <w:tcW w:type="dxa" w:w="1440"/>
          </w:tcPr>
          <w:p>
            <w:r>
              <w:t>Hosting DC / Geo</w:t>
            </w:r>
          </w:p>
        </w:tc>
        <w:tc>
          <w:tcPr>
            <w:tcW w:type="dxa" w:w="1440"/>
          </w:tcPr>
          <w:p>
            <w:r>
              <w:t>Quantified Growth</w:t>
            </w:r>
          </w:p>
        </w:tc>
        <w:tc>
          <w:tcPr>
            <w:tcW w:type="dxa" w:w="1440"/>
          </w:tcPr>
          <w:p>
            <w:r>
              <w:t>Timeline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</w:tr>
      <w:tr>
        <w:tc>
          <w:tcPr>
            <w:tcW w:type="dxa" w:w="1440"/>
          </w:tcPr>
          <w:p>
            <w:r>
              <w:t>App Server</w:t>
            </w:r>
          </w:p>
        </w:tc>
        <w:tc>
          <w:tcPr>
            <w:tcW w:type="dxa" w:w="1440"/>
          </w:tcPr>
          <w:p>
            <w:r>
              <w:t>CPU + RAM</w:t>
            </w:r>
          </w:p>
        </w:tc>
        <w:tc>
          <w:tcPr>
            <w:tcW w:type="dxa" w:w="1440"/>
          </w:tcPr>
          <w:p>
            <w:r>
              <w:t>GDC East</w:t>
            </w:r>
          </w:p>
        </w:tc>
        <w:tc>
          <w:tcPr>
            <w:tcW w:type="dxa" w:w="1440"/>
          </w:tcPr>
          <w:p>
            <w:r>
              <w:t>+20 %</w:t>
            </w:r>
          </w:p>
        </w:tc>
        <w:tc>
          <w:tcPr>
            <w:tcW w:type="dxa" w:w="1440"/>
          </w:tcPr>
          <w:p>
            <w:r>
              <w:t>Q1 2026</w:t>
            </w:r>
          </w:p>
        </w:tc>
        <w:tc>
          <w:tcPr>
            <w:tcW w:type="dxa" w:w="1440"/>
          </w:tcPr>
          <w:p>
            <w:r>
              <w:t>Increase for projected transaction load</w:t>
            </w:r>
          </w:p>
        </w:tc>
      </w:tr>
      <w:tr>
        <w:tc>
          <w:tcPr>
            <w:tcW w:type="dxa" w:w="1440"/>
          </w:tcPr>
          <w:p>
            <w:r>
              <w:t>DB Server</w:t>
            </w:r>
          </w:p>
        </w:tc>
        <w:tc>
          <w:tcPr>
            <w:tcW w:type="dxa" w:w="1440"/>
          </w:tcPr>
          <w:p>
            <w:r>
              <w:t>Storage</w:t>
            </w:r>
          </w:p>
        </w:tc>
        <w:tc>
          <w:tcPr>
            <w:tcW w:type="dxa" w:w="1440"/>
          </w:tcPr>
          <w:p>
            <w:r>
              <w:t>GDC East</w:t>
            </w:r>
          </w:p>
        </w:tc>
        <w:tc>
          <w:tcPr>
            <w:tcW w:type="dxa" w:w="1440"/>
          </w:tcPr>
          <w:p>
            <w:r>
              <w:t>+25 %</w:t>
            </w:r>
          </w:p>
        </w:tc>
        <w:tc>
          <w:tcPr>
            <w:tcW w:type="dxa" w:w="1440"/>
          </w:tcPr>
          <w:p>
            <w:r>
              <w:t>Q2 2026</w:t>
            </w:r>
          </w:p>
        </w:tc>
        <w:tc>
          <w:tcPr>
            <w:tcW w:type="dxa" w:w="1440"/>
          </w:tcPr>
          <w:p>
            <w:r>
              <w:t>Archival retention growth</w:t>
            </w:r>
          </w:p>
        </w:tc>
      </w:tr>
      <w:tr>
        <w:tc>
          <w:tcPr>
            <w:tcW w:type="dxa" w:w="1440"/>
          </w:tcPr>
          <w:p>
            <w:r>
              <w:t>Web Server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GDC East</w:t>
            </w:r>
          </w:p>
        </w:tc>
        <w:tc>
          <w:tcPr>
            <w:tcW w:type="dxa" w:w="1440"/>
          </w:tcPr>
          <w:p>
            <w:r>
              <w:t>0 %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Current capacity adequate</w:t>
            </w:r>
          </w:p>
        </w:tc>
      </w:tr>
    </w:tbl>
    <w:p>
      <w:pPr>
        <w:pStyle w:val="Heading2"/>
      </w:pPr>
      <w:r>
        <w:t>4. Capacity Reviews</w:t>
      </w:r>
    </w:p>
    <w:p>
      <w:r>
        <w:t>Monthly utilization review by InfraOps and Service Owner (7th of each month). Metrics: CPU, Memory, Storage, Network I/O. Breaches &gt;3 months trigger ServiceNow action plans.</w:t>
      </w:r>
    </w:p>
    <w:p>
      <w:r>
        <w:t>Annual capacity review due Oct 2026.</w:t>
      </w:r>
    </w:p>
    <w:p>
      <w:r>
        <w:t>Cost Optimization: Evaluate SKE migration in 2026 for elastic scaling.</w:t>
      </w:r>
    </w:p>
    <w:p>
      <w:pPr>
        <w:pStyle w:val="Heading2"/>
      </w:pPr>
      <w:r>
        <w:t>5. Appendix / Supporting Info</w:t>
      </w:r>
    </w:p>
    <w:p>
      <w:r>
        <w:t>Linked Docs: Apollo_NFR_v2.1.docx, ITR_MNR_CR01.pdf, Apollo_Infra_Monitoring_Dashboard.</w:t>
      </w:r>
    </w:p>
    <w:p>
      <w:r>
        <w:t>BIA Reference: Apollo BIA ID #BIA-2025-09.</w:t>
      </w:r>
    </w:p>
    <w:p>
      <w:r>
        <w:t>Upstream Assets: EQTrade Gateway (30521), MarketData Feed (30217).</w:t>
      </w:r>
    </w:p>
    <w:p>
      <w:r>
        <w:t>Downstream Assets: TSS (40987), Reporting DB (41190).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