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Apollo Trade Processing System - Capacity Plan (v3.0)</w:t>
      </w:r>
    </w:p>
    <w:p>
      <w:pPr>
        <w:pStyle w:val="Heading2"/>
      </w:pPr>
      <w:r>
        <w:t>Document Header</w:t>
      </w:r>
    </w:p>
    <w:p>
      <w:r>
        <w:t>Application ID: EQTRADE-APOLLO</w:t>
      </w:r>
    </w:p>
    <w:p>
      <w:r>
        <w:t>Application Name: Apollo Trade Processing System</w:t>
      </w:r>
    </w:p>
    <w:p>
      <w:r>
        <w:t>Business Criticality: BC4</w:t>
      </w:r>
    </w:p>
    <w:p>
      <w:r>
        <w:t>Owner / Approver: DevOps Platform Team, Infra Head, Domain Service Owner</w:t>
      </w:r>
    </w:p>
    <w:p>
      <w:r>
        <w:t>Validity: Valid From Dec 2024 | Next Review Dec 2025 | Frequency – Annual</w:t>
      </w:r>
    </w:p>
    <w:p>
      <w:r>
        <w:t>Service Mapped to IBS: Yes</w:t>
      </w:r>
    </w:p>
    <w:p>
      <w:pPr>
        <w:pStyle w:val="Heading2"/>
      </w:pPr>
      <w:r>
        <w:t>1. Introduction</w:t>
      </w:r>
    </w:p>
    <w:p>
      <w:r>
        <w:t>Apollo SCOT (Standard Chartered Online Trading) is an omni-channel trading platform allowing clients to trade equities across multiple exchanges in Asia, Europe, and North America. It provides both front- and back-office functionalities used by branches, call centres, and dealing desks.</w:t>
      </w:r>
    </w:p>
    <w:p>
      <w:pPr>
        <w:pStyle w:val="Heading3"/>
      </w:pPr>
      <w:r>
        <w:t>1.2 Non-Functional Requirements (NFR) Details</w:t>
      </w:r>
    </w:p>
    <w:p>
      <w:r>
        <w:t>NFR Alignment: CPU ≤ 80 %, Memory ≤ 75 %, Response ≤ 10 seconds.</w:t>
      </w:r>
    </w:p>
    <w:p>
      <w:pPr>
        <w:pStyle w:val="Heading3"/>
      </w:pPr>
      <w:r>
        <w:t>1.3 Scope</w:t>
      </w:r>
    </w:p>
    <w:p>
      <w:r>
        <w:t>Service Overview: Apollo platform supports equities trading in SG and UAE with branch and call-centre integration.</w:t>
      </w:r>
    </w:p>
    <w:p>
      <w:r>
        <w:t>Service Dependants: eBBS, ForgeRock, Strauss, Splunk, OUD, OneCert, MAR, UBS (external), LABCI (external), TREP.</w:t>
      </w:r>
    </w:p>
    <w:p>
      <w:r>
        <w:t>Capacity Monitoring: Monitored through Grafana and Splunk dashboards; monthly review by InfraOps.</w:t>
      </w:r>
    </w:p>
    <w:p>
      <w:pPr>
        <w:pStyle w:val="Heading3"/>
      </w:pPr>
      <w:r>
        <w:t>1.4 Infrastructure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S/No</w:t>
            </w:r>
          </w:p>
        </w:tc>
        <w:tc>
          <w:tcPr>
            <w:tcW w:type="dxa" w:w="1728"/>
          </w:tcPr>
          <w:p>
            <w:r>
              <w:t>Servers / CIs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Hosting Model</w:t>
            </w:r>
          </w:p>
        </w:tc>
        <w:tc>
          <w:tcPr>
            <w:tcW w:type="dxa" w:w="1728"/>
          </w:tcPr>
          <w:p>
            <w:r>
              <w:t>Data Centre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APOLLO-APP01/02</w:t>
            </w:r>
          </w:p>
        </w:tc>
        <w:tc>
          <w:tcPr>
            <w:tcW w:type="dxa" w:w="1728"/>
          </w:tcPr>
          <w:p>
            <w:r>
              <w:t>Application servers</w:t>
            </w:r>
          </w:p>
        </w:tc>
        <w:tc>
          <w:tcPr>
            <w:tcW w:type="dxa" w:w="1728"/>
          </w:tcPr>
          <w:p>
            <w:r>
              <w:t>AWS Cloud (HK region)</w:t>
            </w:r>
          </w:p>
        </w:tc>
        <w:tc>
          <w:tcPr>
            <w:tcW w:type="dxa" w:w="1728"/>
          </w:tcPr>
          <w:p>
            <w:r>
              <w:t>AWS HK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APOLLO-DB01</w:t>
            </w:r>
          </w:p>
        </w:tc>
        <w:tc>
          <w:tcPr>
            <w:tcW w:type="dxa" w:w="1728"/>
          </w:tcPr>
          <w:p>
            <w:r>
              <w:t>Database 1 TB EFS/S3</w:t>
            </w:r>
          </w:p>
        </w:tc>
        <w:tc>
          <w:tcPr>
            <w:tcW w:type="dxa" w:w="1728"/>
          </w:tcPr>
          <w:p>
            <w:r>
              <w:t>AWS Cloud</w:t>
            </w:r>
          </w:p>
        </w:tc>
        <w:tc>
          <w:tcPr>
            <w:tcW w:type="dxa" w:w="1728"/>
          </w:tcPr>
          <w:p>
            <w:r>
              <w:t>AWS HK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APOLLO-WEB01</w:t>
            </w:r>
          </w:p>
        </w:tc>
        <w:tc>
          <w:tcPr>
            <w:tcW w:type="dxa" w:w="1728"/>
          </w:tcPr>
          <w:p>
            <w:r>
              <w:t>Web Frontend</w:t>
            </w:r>
          </w:p>
        </w:tc>
        <w:tc>
          <w:tcPr>
            <w:tcW w:type="dxa" w:w="1728"/>
          </w:tcPr>
          <w:p>
            <w:r>
              <w:t>AWS Cloud</w:t>
            </w:r>
          </w:p>
        </w:tc>
        <w:tc>
          <w:tcPr>
            <w:tcW w:type="dxa" w:w="1728"/>
          </w:tcPr>
          <w:p>
            <w:r>
              <w:t>AWS HK</w:t>
            </w:r>
          </w:p>
        </w:tc>
      </w:tr>
    </w:tbl>
    <w:p>
      <w:pPr>
        <w:pStyle w:val="Heading3"/>
      </w:pPr>
      <w:r>
        <w:t>1.5 Capacity Forecast Inputs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Capacity Forecast</w:t>
            </w:r>
          </w:p>
        </w:tc>
        <w:tc>
          <w:tcPr>
            <w:tcW w:type="dxa" w:w="2880"/>
          </w:tcPr>
          <w:p>
            <w:r>
              <w:t>Applicable (Y/N)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Business Forecast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Projected 20 % increase in trade volume in FY25 based on regional expansion (SG &amp; UAE).</w:t>
            </w:r>
          </w:p>
        </w:tc>
      </w:tr>
      <w:tr>
        <w:tc>
          <w:tcPr>
            <w:tcW w:type="dxa" w:w="2880"/>
          </w:tcPr>
          <w:p>
            <w:r>
              <w:t>Workload Forecast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Based on historical utilization trends (+15 % YoY growth in transactions).</w:t>
            </w:r>
          </w:p>
        </w:tc>
      </w:tr>
      <w:tr>
        <w:tc>
          <w:tcPr>
            <w:tcW w:type="dxa" w:w="2880"/>
          </w:tcPr>
          <w:p>
            <w:r>
              <w:t>Others / Seasonal Events</w:t>
            </w:r>
          </w:p>
        </w:tc>
        <w:tc>
          <w:tcPr>
            <w:tcW w:type="dxa" w:w="2880"/>
          </w:tcPr>
          <w:p>
            <w:r>
              <w:t>NA</w:t>
            </w:r>
          </w:p>
        </w:tc>
        <w:tc>
          <w:tcPr>
            <w:tcW w:type="dxa" w:w="2880"/>
          </w:tcPr>
          <w:p>
            <w:r>
              <w:t>No seasonal or promotional spikes recorded; routine market peak hours only.</w:t>
            </w:r>
          </w:p>
        </w:tc>
      </w:tr>
    </w:tbl>
    <w:p>
      <w:pPr>
        <w:pStyle w:val="Heading2"/>
      </w:pPr>
      <w:r>
        <w:t>2. Capacity Analysis</w:t>
      </w:r>
    </w:p>
    <w:p>
      <w:r>
        <w:t>Peak Hours: 8:15–9:45 AM, 4:00–5:30 PM, 9:15–10:15 PM, 3:45–5:15 AM (SGT).</w:t>
      </w:r>
    </w:p>
    <w:p>
      <w:r>
        <w:t>Total Concurrent Users: 12,960 (SG) + 2,600 (AE) + 2,600 (MY).</w:t>
      </w:r>
    </w:p>
    <w:p>
      <w:r>
        <w:t>Transactions per Year: 9.86M (SG) + 5M (AE) + 5M (MY).</w:t>
      </w:r>
    </w:p>
    <w:p>
      <w:r>
        <w:t>Performance Target: Average response ≤ 10 seconds.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Baseline Utilization</w:t>
            </w:r>
          </w:p>
        </w:tc>
        <w:tc>
          <w:tcPr>
            <w:tcW w:type="dxa" w:w="2160"/>
          </w:tcPr>
          <w:p>
            <w:r>
              <w:t>Threshold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App Server</w:t>
            </w:r>
          </w:p>
        </w:tc>
        <w:tc>
          <w:tcPr>
            <w:tcW w:type="dxa" w:w="2160"/>
          </w:tcPr>
          <w:p>
            <w:r>
              <w:t>CPU 48 %, MEM 71 %, Storage 62 %</w:t>
            </w:r>
          </w:p>
        </w:tc>
        <w:tc>
          <w:tcPr>
            <w:tcW w:type="dxa" w:w="2160"/>
          </w:tcPr>
          <w:p>
            <w:r>
              <w:t>80 %</w:t>
            </w:r>
          </w:p>
        </w:tc>
        <w:tc>
          <w:tcPr>
            <w:tcW w:type="dxa" w:w="2160"/>
          </w:tcPr>
          <w:p>
            <w:r>
              <w:t>Stable utilization within SLA</w:t>
            </w:r>
          </w:p>
        </w:tc>
      </w:tr>
      <w:tr>
        <w:tc>
          <w:tcPr>
            <w:tcW w:type="dxa" w:w="2160"/>
          </w:tcPr>
          <w:p>
            <w:r>
              <w:t>DB Server</w:t>
            </w:r>
          </w:p>
        </w:tc>
        <w:tc>
          <w:tcPr>
            <w:tcW w:type="dxa" w:w="2160"/>
          </w:tcPr>
          <w:p>
            <w:r>
              <w:t>CPU 52 %, MEM 65 %, Storage 68 %</w:t>
            </w:r>
          </w:p>
        </w:tc>
        <w:tc>
          <w:tcPr>
            <w:tcW w:type="dxa" w:w="2160"/>
          </w:tcPr>
          <w:p>
            <w:r>
              <w:t>80 %</w:t>
            </w:r>
          </w:p>
        </w:tc>
        <w:tc>
          <w:tcPr>
            <w:tcW w:type="dxa" w:w="2160"/>
          </w:tcPr>
          <w:p>
            <w:r>
              <w:t>Healthy, monitored via CloudWatch</w:t>
            </w:r>
          </w:p>
        </w:tc>
      </w:tr>
      <w:tr>
        <w:tc>
          <w:tcPr>
            <w:tcW w:type="dxa" w:w="2160"/>
          </w:tcPr>
          <w:p>
            <w:r>
              <w:t>Web Server</w:t>
            </w:r>
          </w:p>
        </w:tc>
        <w:tc>
          <w:tcPr>
            <w:tcW w:type="dxa" w:w="2160"/>
          </w:tcPr>
          <w:p>
            <w:r>
              <w:t>CPU 38 %, MEM 57 %, Storage 54 %</w:t>
            </w:r>
          </w:p>
        </w:tc>
        <w:tc>
          <w:tcPr>
            <w:tcW w:type="dxa" w:w="2160"/>
          </w:tcPr>
          <w:p>
            <w:r>
              <w:t>80 %</w:t>
            </w:r>
          </w:p>
        </w:tc>
        <w:tc>
          <w:tcPr>
            <w:tcW w:type="dxa" w:w="2160"/>
          </w:tcPr>
          <w:p>
            <w:r>
              <w:t>Operating efficiently within limits</w:t>
            </w:r>
          </w:p>
        </w:tc>
      </w:tr>
    </w:tbl>
    <w:p>
      <w:pPr>
        <w:pStyle w:val="Heading2"/>
      </w:pPr>
      <w:r>
        <w:t>3. Detailed Capacity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Resource / Service</w:t>
            </w:r>
          </w:p>
        </w:tc>
        <w:tc>
          <w:tcPr>
            <w:tcW w:type="dxa" w:w="1440"/>
          </w:tcPr>
          <w:p>
            <w:r>
              <w:t>Hosting DC / Geo</w:t>
            </w:r>
          </w:p>
        </w:tc>
        <w:tc>
          <w:tcPr>
            <w:tcW w:type="dxa" w:w="1440"/>
          </w:tcPr>
          <w:p>
            <w:r>
              <w:t>Quantified Growth</w:t>
            </w:r>
          </w:p>
        </w:tc>
        <w:tc>
          <w:tcPr>
            <w:tcW w:type="dxa" w:w="1440"/>
          </w:tcPr>
          <w:p>
            <w:r>
              <w:t>Timeline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App Server</w:t>
            </w:r>
          </w:p>
        </w:tc>
        <w:tc>
          <w:tcPr>
            <w:tcW w:type="dxa" w:w="1440"/>
          </w:tcPr>
          <w:p>
            <w:r>
              <w:t>CPU + RAM</w:t>
            </w:r>
          </w:p>
        </w:tc>
        <w:tc>
          <w:tcPr>
            <w:tcW w:type="dxa" w:w="1440"/>
          </w:tcPr>
          <w:p>
            <w:r>
              <w:t>AWS HK</w:t>
            </w:r>
          </w:p>
        </w:tc>
        <w:tc>
          <w:tcPr>
            <w:tcW w:type="dxa" w:w="1440"/>
          </w:tcPr>
          <w:p>
            <w:r>
              <w:t>+20 %</w:t>
            </w:r>
          </w:p>
        </w:tc>
        <w:tc>
          <w:tcPr>
            <w:tcW w:type="dxa" w:w="1440"/>
          </w:tcPr>
          <w:p>
            <w:r>
              <w:t>Q1 2026</w:t>
            </w:r>
          </w:p>
        </w:tc>
        <w:tc>
          <w:tcPr>
            <w:tcW w:type="dxa" w:w="1440"/>
          </w:tcPr>
          <w:p>
            <w:r>
              <w:t>Increase to handle user concurrency</w:t>
            </w:r>
          </w:p>
        </w:tc>
      </w:tr>
      <w:tr>
        <w:tc>
          <w:tcPr>
            <w:tcW w:type="dxa" w:w="1440"/>
          </w:tcPr>
          <w:p>
            <w:r>
              <w:t>DB Server</w:t>
            </w:r>
          </w:p>
        </w:tc>
        <w:tc>
          <w:tcPr>
            <w:tcW w:type="dxa" w:w="1440"/>
          </w:tcPr>
          <w:p>
            <w:r>
              <w:t>Storage</w:t>
            </w:r>
          </w:p>
        </w:tc>
        <w:tc>
          <w:tcPr>
            <w:tcW w:type="dxa" w:w="1440"/>
          </w:tcPr>
          <w:p>
            <w:r>
              <w:t>AWS HK</w:t>
            </w:r>
          </w:p>
        </w:tc>
        <w:tc>
          <w:tcPr>
            <w:tcW w:type="dxa" w:w="1440"/>
          </w:tcPr>
          <w:p>
            <w:r>
              <w:t>+25 %</w:t>
            </w:r>
          </w:p>
        </w:tc>
        <w:tc>
          <w:tcPr>
            <w:tcW w:type="dxa" w:w="1440"/>
          </w:tcPr>
          <w:p>
            <w:r>
              <w:t>Q2 2026</w:t>
            </w:r>
          </w:p>
        </w:tc>
        <w:tc>
          <w:tcPr>
            <w:tcW w:type="dxa" w:w="1440"/>
          </w:tcPr>
          <w:p>
            <w:r>
              <w:t>Growth due to transaction data and archival</w:t>
            </w:r>
          </w:p>
        </w:tc>
      </w:tr>
      <w:tr>
        <w:tc>
          <w:tcPr>
            <w:tcW w:type="dxa" w:w="1440"/>
          </w:tcPr>
          <w:p>
            <w:r>
              <w:t>Web Server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AWS HK</w:t>
            </w:r>
          </w:p>
        </w:tc>
        <w:tc>
          <w:tcPr>
            <w:tcW w:type="dxa" w:w="1440"/>
          </w:tcPr>
          <w:p>
            <w:r>
              <w:t>0 %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Current capacity sufficient</w:t>
            </w:r>
          </w:p>
        </w:tc>
      </w:tr>
    </w:tbl>
    <w:p>
      <w:pPr>
        <w:pStyle w:val="Heading2"/>
      </w:pPr>
      <w:r>
        <w:t>4. Capacity Reviews</w:t>
      </w:r>
    </w:p>
    <w:p>
      <w:r>
        <w:t>Monthly capacity review by InfraOps and Application Owner. Metrics reviewed: CPU, Memory, Storage, Network IO. If utilization exceeds 80 % for 3 consecutive months, mitigation plans are initiated via ServiceNow. Annual review scheduled for Dec 2025.</w:t>
      </w:r>
    </w:p>
    <w:p>
      <w:r>
        <w:t>Cost Optimization: Evaluate migration to container-based infrastructure in FY26 for scalability.</w:t>
      </w:r>
    </w:p>
    <w:p>
      <w:pPr>
        <w:pStyle w:val="Heading2"/>
      </w:pPr>
      <w:r>
        <w:t>5. Appendix / Supporting Info</w:t>
      </w:r>
    </w:p>
    <w:p>
      <w:r>
        <w:t>Linked Docs: Apollo Capacity Requirement (Dec 2024), InfraOps Monthly Reports, Apollo NFR v2.1.</w:t>
      </w:r>
    </w:p>
    <w:p>
      <w:r>
        <w:t>BIA Reference: Apollo BIA ID #BIA-2025-09.</w:t>
      </w:r>
    </w:p>
    <w:p>
      <w:r>
        <w:t>Upstream: eBBS, ForgeRock, Strauss, OUD, OneCert, MAR, UBS.</w:t>
      </w:r>
    </w:p>
    <w:p>
      <w:r>
        <w:t>Downstream: LABCI (external), TREP.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