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669E5" w14:textId="77777777" w:rsidR="00E260D2" w:rsidRDefault="00000000">
      <w:pPr>
        <w:spacing w:after="0"/>
        <w:jc w:val="center"/>
        <w:rPr>
          <w:b/>
          <w:sz w:val="28"/>
          <w:szCs w:val="28"/>
        </w:rPr>
      </w:pPr>
      <w:r>
        <w:rPr>
          <w:b/>
          <w:sz w:val="28"/>
          <w:szCs w:val="28"/>
        </w:rPr>
        <w:t>Ideation Phase</w:t>
      </w:r>
    </w:p>
    <w:p w14:paraId="40C92EEA" w14:textId="77777777" w:rsidR="00E260D2" w:rsidRDefault="00000000">
      <w:pPr>
        <w:spacing w:after="0"/>
        <w:jc w:val="center"/>
        <w:rPr>
          <w:b/>
          <w:sz w:val="28"/>
          <w:szCs w:val="28"/>
        </w:rPr>
      </w:pPr>
      <w:r>
        <w:rPr>
          <w:b/>
          <w:sz w:val="28"/>
          <w:szCs w:val="28"/>
        </w:rPr>
        <w:t>Empathize &amp; Discover</w:t>
      </w:r>
    </w:p>
    <w:p w14:paraId="01198DBF" w14:textId="77777777" w:rsidR="00E260D2" w:rsidRDefault="00E260D2">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260D2" w14:paraId="572E0F99" w14:textId="77777777">
        <w:tc>
          <w:tcPr>
            <w:tcW w:w="4508" w:type="dxa"/>
          </w:tcPr>
          <w:p w14:paraId="4C5F777B" w14:textId="77777777" w:rsidR="00E260D2" w:rsidRDefault="00000000">
            <w:r>
              <w:t>Date</w:t>
            </w:r>
          </w:p>
        </w:tc>
        <w:tc>
          <w:tcPr>
            <w:tcW w:w="4508" w:type="dxa"/>
          </w:tcPr>
          <w:p w14:paraId="05779224" w14:textId="55ECA7E5" w:rsidR="00E260D2" w:rsidRDefault="004238EC">
            <w:r>
              <w:t xml:space="preserve">27 May </w:t>
            </w:r>
            <w:r w:rsidR="00000000">
              <w:t>2025</w:t>
            </w:r>
          </w:p>
        </w:tc>
      </w:tr>
      <w:tr w:rsidR="00E260D2" w14:paraId="75B19512" w14:textId="77777777">
        <w:tc>
          <w:tcPr>
            <w:tcW w:w="4508" w:type="dxa"/>
          </w:tcPr>
          <w:p w14:paraId="1D1933FB" w14:textId="77777777" w:rsidR="00E260D2" w:rsidRDefault="00000000">
            <w:r>
              <w:t>Team ID</w:t>
            </w:r>
          </w:p>
        </w:tc>
        <w:tc>
          <w:tcPr>
            <w:tcW w:w="4508" w:type="dxa"/>
          </w:tcPr>
          <w:p w14:paraId="6AEBDE07" w14:textId="05112220" w:rsidR="00E260D2" w:rsidRDefault="00B55DD1">
            <w:r w:rsidRPr="0004246A">
              <w:t>LTVIP2025TMID38618</w:t>
            </w:r>
          </w:p>
        </w:tc>
      </w:tr>
      <w:tr w:rsidR="00E260D2" w14:paraId="11F52ACD" w14:textId="77777777">
        <w:tc>
          <w:tcPr>
            <w:tcW w:w="4508" w:type="dxa"/>
          </w:tcPr>
          <w:p w14:paraId="38B0CE59" w14:textId="77777777" w:rsidR="00E260D2" w:rsidRDefault="00000000">
            <w:r>
              <w:t>Project Name</w:t>
            </w:r>
          </w:p>
        </w:tc>
        <w:tc>
          <w:tcPr>
            <w:tcW w:w="4508" w:type="dxa"/>
          </w:tcPr>
          <w:p w14:paraId="71E8FB14" w14:textId="14D2DD19" w:rsidR="00E260D2" w:rsidRDefault="00B55DD1">
            <w:r w:rsidRPr="0004246A">
              <w:t>Revolutionizing Liver Care : Predicting Liver Cirrhosis using Advanced Machine Learning Techniques</w:t>
            </w:r>
          </w:p>
        </w:tc>
      </w:tr>
      <w:tr w:rsidR="00E260D2" w14:paraId="641E5DCA" w14:textId="77777777">
        <w:tc>
          <w:tcPr>
            <w:tcW w:w="4508" w:type="dxa"/>
          </w:tcPr>
          <w:p w14:paraId="0577A9C2" w14:textId="77777777" w:rsidR="00E260D2" w:rsidRDefault="00000000">
            <w:r>
              <w:t>Maximum Marks</w:t>
            </w:r>
          </w:p>
        </w:tc>
        <w:tc>
          <w:tcPr>
            <w:tcW w:w="4508" w:type="dxa"/>
          </w:tcPr>
          <w:p w14:paraId="5AB81C31" w14:textId="77777777" w:rsidR="00E260D2" w:rsidRDefault="00000000">
            <w:r>
              <w:t>4 Marks</w:t>
            </w:r>
          </w:p>
        </w:tc>
      </w:tr>
    </w:tbl>
    <w:p w14:paraId="7C00EDFD" w14:textId="77777777" w:rsidR="00E260D2" w:rsidRDefault="00E260D2">
      <w:pPr>
        <w:rPr>
          <w:b/>
          <w:sz w:val="24"/>
          <w:szCs w:val="24"/>
        </w:rPr>
      </w:pPr>
    </w:p>
    <w:p w14:paraId="4AB6FA6C" w14:textId="77777777" w:rsidR="00E260D2" w:rsidRDefault="00000000">
      <w:pPr>
        <w:rPr>
          <w:b/>
          <w:sz w:val="24"/>
          <w:szCs w:val="24"/>
        </w:rPr>
      </w:pPr>
      <w:r>
        <w:rPr>
          <w:b/>
          <w:sz w:val="24"/>
          <w:szCs w:val="24"/>
        </w:rPr>
        <w:t>Empathy Map Canvas:</w:t>
      </w:r>
    </w:p>
    <w:p w14:paraId="7447BA4C" w14:textId="77777777" w:rsidR="004238EC" w:rsidRPr="000B490B" w:rsidRDefault="004238EC" w:rsidP="004238EC">
      <w:pPr>
        <w:jc w:val="both"/>
      </w:pPr>
      <w:r w:rsidRPr="000B490B">
        <w:t>The Empathy Map Canvas helps identify and understand the needs, goals, and pain points of the primary users of the Liver Cirrhosis Prediction System—doctors and healthcare professionals. By mapping what users see, say, do, and hear, as well as their challenges and expected benefits, we ensure the solution is user-</w:t>
      </w:r>
      <w:proofErr w:type="spellStart"/>
      <w:r w:rsidRPr="000B490B">
        <w:t>centered</w:t>
      </w:r>
      <w:proofErr w:type="spellEnd"/>
      <w:r w:rsidRPr="000B490B">
        <w:t xml:space="preserve"> and practical in real-world clinical settings. This approach supports the development of a tool that not only functions accurately but is also intuitive and valuable to its end users.</w:t>
      </w:r>
    </w:p>
    <w:p w14:paraId="6E4F539E" w14:textId="77777777" w:rsidR="004238EC" w:rsidRDefault="004238EC">
      <w:pPr>
        <w:rPr>
          <w:b/>
          <w:sz w:val="24"/>
          <w:szCs w:val="24"/>
        </w:rPr>
      </w:pPr>
    </w:p>
    <w:p w14:paraId="674A1724" w14:textId="77777777" w:rsidR="00E260D2" w:rsidRDefault="00000000">
      <w:pPr>
        <w:jc w:val="both"/>
        <w:rPr>
          <w:b/>
          <w:color w:val="2A2A2A"/>
          <w:sz w:val="24"/>
          <w:szCs w:val="24"/>
        </w:rPr>
      </w:pPr>
      <w:r>
        <w:rPr>
          <w:noProof/>
        </w:rPr>
        <w:drawing>
          <wp:inline distT="0" distB="0" distL="0" distR="0" wp14:anchorId="24DA5A9C" wp14:editId="54F20D44">
            <wp:extent cx="5610501" cy="4073236"/>
            <wp:effectExtent l="0" t="0" r="0" b="3810"/>
            <wp:docPr id="5" name="image2.jpg"/>
            <wp:cNvGraphicFramePr/>
            <a:graphic xmlns:a="http://schemas.openxmlformats.org/drawingml/2006/main">
              <a:graphicData uri="http://schemas.openxmlformats.org/drawingml/2006/picture">
                <pic:pic xmlns:pic="http://schemas.openxmlformats.org/drawingml/2006/picture">
                  <pic:nvPicPr>
                    <pic:cNvPr id="5" name="image2.jpg"/>
                    <pic:cNvPicPr preferRelativeResize="0"/>
                  </pic:nvPicPr>
                  <pic:blipFill>
                    <a:blip r:embed="rId5">
                      <a:extLst>
                        <a:ext uri="{28A0092B-C50C-407E-A947-70E740481C1C}">
                          <a14:useLocalDpi xmlns:a14="http://schemas.microsoft.com/office/drawing/2010/main" val="0"/>
                        </a:ext>
                      </a:extLst>
                    </a:blip>
                    <a:stretch>
                      <a:fillRect/>
                    </a:stretch>
                  </pic:blipFill>
                  <pic:spPr>
                    <a:xfrm>
                      <a:off x="0" y="0"/>
                      <a:ext cx="5625816" cy="4084355"/>
                    </a:xfrm>
                    <a:prstGeom prst="rect">
                      <a:avLst/>
                    </a:prstGeom>
                    <a:ln/>
                  </pic:spPr>
                </pic:pic>
              </a:graphicData>
            </a:graphic>
          </wp:inline>
        </w:drawing>
      </w:r>
    </w:p>
    <w:p w14:paraId="1C63A0B1" w14:textId="77777777" w:rsidR="00E260D2" w:rsidRDefault="00E260D2">
      <w:pPr>
        <w:jc w:val="both"/>
        <w:rPr>
          <w:b/>
          <w:color w:val="2A2A2A"/>
          <w:sz w:val="24"/>
          <w:szCs w:val="24"/>
        </w:rPr>
      </w:pPr>
    </w:p>
    <w:p w14:paraId="351867DD" w14:textId="77777777" w:rsidR="00E260D2" w:rsidRDefault="00E260D2">
      <w:pPr>
        <w:jc w:val="both"/>
        <w:rPr>
          <w:b/>
          <w:color w:val="2A2A2A"/>
          <w:sz w:val="24"/>
          <w:szCs w:val="24"/>
        </w:rPr>
      </w:pPr>
    </w:p>
    <w:sectPr w:rsidR="00E260D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0D2"/>
    <w:rsid w:val="0033462F"/>
    <w:rsid w:val="004238EC"/>
    <w:rsid w:val="008D702B"/>
    <w:rsid w:val="00B55DD1"/>
    <w:rsid w:val="00D454D0"/>
    <w:rsid w:val="00E260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55F9D"/>
  <w15:docId w15:val="{D1986B57-C04C-4793-997C-9CFC45DCB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112</Words>
  <Characters>641</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Ramya Kadali</cp:lastModifiedBy>
  <cp:revision>4</cp:revision>
  <dcterms:created xsi:type="dcterms:W3CDTF">2022-09-18T16:51:00Z</dcterms:created>
  <dcterms:modified xsi:type="dcterms:W3CDTF">2025-06-28T12:42:00Z</dcterms:modified>
</cp:coreProperties>
</file>