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b/>
          <w:color w:val="1F3964"/>
          <w:sz w:val="44"/>
        </w:rPr>
        <w:t>ADR-002: Embedding Model Selection</w:t>
      </w:r>
    </w:p>
    <w:p>
      <w:pPr>
        <w:pBdr>
          <w:bottom w:val="single" w:sz="6" w:space="1" w:color="1F3964"/>
        </w:pBdr>
        <w:spacing w:before="0" w:after="80"/>
      </w:pP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Status:</w:t>
      </w:r>
      <w:r>
        <w:rPr>
          <w:color w:val="262626"/>
          <w:sz w:val="21"/>
        </w:rPr>
        <w:t xml:space="preserve"> Accepted</w:t>
      </w: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Date:</w:t>
      </w:r>
      <w:r>
        <w:rPr>
          <w:color w:val="262626"/>
          <w:sz w:val="21"/>
        </w:rPr>
        <w:t xml:space="preserve"> 2025-06-06</w:t>
      </w: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Deciders:</w:t>
      </w:r>
      <w:r>
        <w:rPr>
          <w:color w:val="262626"/>
          <w:sz w:val="21"/>
        </w:rPr>
        <w:t xml:space="preserve"> Architecture Team, Infrastructure Team</w:t>
      </w: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Context</w:t>
      </w:r>
    </w:p>
    <w:p>
      <w:pPr>
        <w:spacing w:before="20" w:after="60"/>
      </w:pPr>
      <w:r>
        <w:rPr>
          <w:b w:val="0"/>
          <w:i w:val="0"/>
          <w:color w:val="262626"/>
          <w:sz w:val="21"/>
        </w:rPr>
        <w:t>The embedding model converts policy text and queries into vector representations for similarity search. Requirements: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Local execution — no external API calls for embeddings (data sovereignty, no PII leakage, no latency dependency on third-party embedding API).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High quality — must produce semantically meaningful embeddings for compliance/legal domain text.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CPU-runnable — production environment may not have GPU; must run acceptably on CPU.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Small enough to load in a compliance officer workstation environment.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Dimension small enough to keep ChromaDB index size manageable.</w:t>
      </w: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Decision</w:t>
      </w: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Selected: `BAAI/bge-small-en-v1.5`</w:t>
      </w:r>
      <w:r>
        <w:rPr>
          <w:color w:val="262626"/>
          <w:sz w:val="21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481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Provider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Beijing Academy of AI (BAAI) — open source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Parameters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33.4M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Embedding dimension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384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Max sequence length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512 tokens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MTEB benchmark rank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Top-tier small model (MTEB Avg: 62.17)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License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MIT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Library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sentence-transformers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CPU inference speed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~100–200 sentences/second on modern CPU</w:t>
            </w:r>
          </w:p>
        </w:tc>
      </w:tr>
    </w:tbl>
    <w:p>
      <w:pPr>
        <w:spacing w:after="80"/>
      </w:pPr>
    </w:p>
    <w:p>
      <w:pPr>
        <w:spacing w:before="140" w:after="20"/>
      </w:pPr>
      <w:r>
        <w:rPr>
          <w:b/>
          <w:color w:val="17756A"/>
          <w:sz w:val="23"/>
        </w:rPr>
        <w:t>Why BGE-small-en-v1.5: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MTEB performance: Outperforms all-MiniLM-L6-v2 on retrieval tasks (+3–5% on NDCG@10) while being the same parameter count.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Retrieval-optimized: BGE models are explicitly trained for retrieval tasks using contrastive learning on diverse text pairs — ideal for policy Q&amp;A.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Instruction prefix: Supports "Represent this sentence: " prefix for asymmetric retrieval (query vs. passage), which we apply to query embedding.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No external dependency: Runs entirely locally via sentence-transformers.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Fast CPU inference: 33M parameters allow real-time query embedding (&lt; 100ms per query on CPU).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384-dim vectors: Small enough that ChromaDB HNSW index is memory-efficient for 10K–100K chunks.</w:t>
      </w: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Alternatives Considered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240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Params</w:t>
            </w:r>
          </w:p>
        </w:tc>
        <w:tc>
          <w:tcPr>
            <w:tcW w:type="dxa" w:w="240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MTEB Score</w:t>
            </w:r>
          </w:p>
        </w:tc>
        <w:tc>
          <w:tcPr>
            <w:tcW w:type="dxa" w:w="240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Why Rejected</w:t>
            </w:r>
          </w:p>
        </w:tc>
      </w:tr>
      <w:tr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all-MiniLM-L6-v2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22M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~58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Lower retrieval quality than BGE-small; not retrieval-optimized</w:t>
            </w:r>
          </w:p>
        </w:tc>
      </w:tr>
      <w:tr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BAAI/bge-base-en-v1.5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109M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~64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Better quality but 3x larger; CPU inference 3x slower; rejected for latency</w:t>
            </w:r>
          </w:p>
        </w:tc>
      </w:tr>
      <w:tr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BAAI/bge-large-en-v1.5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335M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~65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Similar quality to base; too large for CPU; rejected</w:t>
            </w:r>
          </w:p>
        </w:tc>
      </w:tr>
      <w:tr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text-embedding-3-small (OpenAI)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API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—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External API call — PII risk, network dependency, cost</w:t>
            </w:r>
          </w:p>
        </w:tc>
      </w:tr>
      <w:tr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voyage-law-2 (Voyage AI)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API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—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Legal-domain specialized but external API; cost and data privacy concerns</w:t>
            </w:r>
          </w:p>
        </w:tc>
      </w:tr>
      <w:tr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nomic-embed-text-v1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137M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~62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Good quality but 4x larger than BGE-small for marginal gain</w:t>
            </w:r>
          </w:p>
        </w:tc>
      </w:tr>
      <w:tr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intfloat/e5-small-v2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33M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~59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Similar size to BGE-small but lower MTEB retrieval score</w:t>
            </w:r>
          </w:p>
        </w:tc>
      </w:tr>
    </w:tbl>
    <w:p>
      <w:pPr>
        <w:spacing w:after="80"/>
      </w:pP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Implementation Details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Batch size: 32 for ingestion (balance throughput vs. memory); 1 for query-time (single query).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Normalization: L2-normalized embeddings (normalize_embeddings=True); enables cosine similarity via dot product.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Instruction prefix for BGE: "Represent this sentence: " prepended to both documents and queries during ingestion and retrieval.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ChromaDB metric: cosine (configured at collection creation).</w:t>
      </w: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Consequences</w:t>
      </w: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Positive:</w:t>
      </w:r>
      <w:r>
        <w:rPr>
          <w:color w:val="262626"/>
          <w:sz w:val="21"/>
        </w:rPr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Zero external API dependency for embeddings — PII stays local.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Fast enough for real-time query (&lt; 100ms embedding).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High enough quality that reranker can select from meaningful candidates.</w:t>
      </w: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Negative / Risks:</w:t>
      </w:r>
      <w:r>
        <w:rPr>
          <w:color w:val="262626"/>
          <w:sz w:val="21"/>
        </w:rPr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No domain-specific fine-tuning on banking/compliance text; mitigated by reranking step.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384-dim vectors provide less representational capacity than 1536-dim OpenAI embeddings; mitigated by high reranker quality.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Model must be downloaded (~120MB) on first run; offline installation requires model caching.</w:t>
      </w: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Future Consideration</w:t>
      </w:r>
    </w:p>
    <w:p>
      <w:pPr>
        <w:spacing w:before="20" w:after="60"/>
      </w:pPr>
      <w:r>
        <w:rPr>
          <w:b w:val="0"/>
          <w:i w:val="0"/>
          <w:color w:val="262626"/>
          <w:sz w:val="21"/>
        </w:rPr>
        <w:t>If recall drops below 0.85 after adding more documents, evaluate fine-tuning BGE-small on bank-specific Q&amp;A pairs using the RAGAS-generated training signal.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