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964"/>
          <w:sz w:val="44"/>
        </w:rPr>
        <w:t>ADR-004: Reranker Selection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Status:</w:t>
      </w:r>
      <w:r>
        <w:rPr>
          <w:color w:val="262626"/>
          <w:sz w:val="21"/>
        </w:rPr>
        <w:t xml:space="preserve"> Accepted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Date:</w:t>
      </w:r>
      <w:r>
        <w:rPr>
          <w:color w:val="262626"/>
          <w:sz w:val="21"/>
        </w:rPr>
        <w:t xml:space="preserve"> 2025-06-06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Deciders:</w:t>
      </w:r>
      <w:r>
        <w:rPr>
          <w:color w:val="262626"/>
          <w:sz w:val="21"/>
        </w:rPr>
        <w:t xml:space="preserve"> Architecture Team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Context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The RAG pipeline uses a two-stage retrieval approach: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Stage 1 (Recall): Bi-encoder embedding search (fast, approximate) → top 10 candidates.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Stage 2 (Precision): Reranker (cross-encoder) → top 5 most relevant chunks.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The reranker is critical for compliance use cases because: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A bi-encoder may return semantically similar but legally distinct chunks (e.g., two different threshold values).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The cross-encoder scores (query, passage) pairs directly, capturing nuanced query-passage interaction.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Wrong regulatory thresholds in answers carry real regulatory risk; precision matters more than speed at this stage.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Requirements: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High precision on compliance/legal Q&amp;A pairs.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Fast enough for real-time use: target &lt; 500ms for 10 candidates.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Local execution — no API dependency.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Max 512 tokens per passage (aligned with chunk size).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Decision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Selected: `cross-encoder/ms-marco-MiniLM-L-6-v2`</w:t>
      </w:r>
      <w:r>
        <w:rPr>
          <w:color w:val="262626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Architecture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BERT-based cross-encoder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Parameters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~22M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Training data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MS MARCO passage ranking dataset (500K+ query-passage pairs)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Input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[CLS] query [SEP] passage [SEP]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Output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Single relevance score (higher = more relevant)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Max tokens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512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Inference latency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~50–200ms for 10 candidates on CPU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Library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sentence-transformers (CrossEncoder class)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License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Apache 2.0</w:t>
            </w:r>
          </w:p>
        </w:tc>
      </w:tr>
    </w:tbl>
    <w:p>
      <w:pPr>
        <w:spacing w:after="80"/>
      </w:pPr>
    </w:p>
    <w:p>
      <w:pPr>
        <w:spacing w:before="140" w:after="20"/>
      </w:pPr>
      <w:r>
        <w:rPr>
          <w:b/>
          <w:color w:val="17756A"/>
          <w:sz w:val="23"/>
        </w:rPr>
        <w:t>Why ms-marco-MiniLM-L-6-v2: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MS MARCO training: Trained on real information retrieval query-passage pairs, not just semantic similarity — directly applicable to Q&amp;A retrieval.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Size vs. quality tradeoff: At 22M parameters, provides strong reranking quality within acceptable CPU latency.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Established baseline: Most referenced reranker in production RAG systems; well-characterized performance.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512-token limit: Aligned with our 512-character chunk size (~128 tokens), so no truncation occurs.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Same library: Uses sentence-transformers.CrossEncoder, already installed for the embedding model.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Alternatives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Considered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Rejected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cross-encoder/ms-marco-MiniLM-L-12-v2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Better quality (L-12 vs L-6)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2x slower on CPU; marginal quality gain over L-6 for our domain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BAAI/bge-reranker-base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BGE reranker, good domain generalization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Requires separate download; L-6 MiniLM sufficient for current corpus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BAAI/bge-reranker-large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Best quality BGE reranker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400ms+ per query on CPU — too slow for real-time compliance use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Cohere Rerank API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Excellent quality, legal-domain fine-tuned available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External API — PII risk, network dependency, cost, availability risk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Jina Reranker v2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Strong performance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External API dependency; local model requires more RAM than L-6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No reranker (bi-encoder only)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Simpler architecture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Insufficient precision for regulatory Q&amp;A; risk of wrong thresholds in answers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Reranking Configuration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# Stage 1: Vector search — top 10 candidates (high recall)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candidates = vector_store.similarity_search(query_embedding, top_k=10)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# Stage 2: Cross-encoder reranking — top 5 (high precision)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pairs = [(query, candidate["content"]) for candidate in candidates]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scores = cross_encoder.predict(pairs)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reranked = sorted(zip(candidates, scores), key=lambda x: x[1], reverse=True)[:5]</w:t>
      </w:r>
    </w:p>
    <w:p>
      <w:pPr>
        <w:spacing w:after="6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Confidence Estimation: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Top reranker score ≥ 0.75 → HIGH confidence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Top reranker score ≥ 0.50 → MEDIUM confidence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Top reranker score &lt; 0.50 → LOW confidence → triggers escalation flag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Consequences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Positive: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Significantly improves precision over bi-encoder alone on regulatory Q&amp;A.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Catches cases where two chunks use similar language but refer to different policies.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Confidence score from reranker provides a calibrated signal for escalation decisions.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Negative / Risks: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Adds ~100–300ms latency per query on CPU (acceptable for compliance officer use case; not real-time trading).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Cross-encoder not fine-tuned on banking compliance domain; performance on very domain-specific terminology may be suboptimal.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If corpus grows to 10K+ documents, retrieval top-k may need to increase, adding reranking latency.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Monitoring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Log reranker latency per query; alert if P95 &gt; 1s.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Log distribution of top reranker scores; investigate if most queries have low scores (&lt; 0.3) — suggests retrieval or chunking problem.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Measure RAGAS faithfulness and context precision monthly; if precision drops, consider upgrading to BGE-reranker-large.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