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964"/>
          <w:sz w:val="52"/>
        </w:rPr>
        <w:t>COMPLIANCE KNOWLEDGE AGENT</w:t>
      </w:r>
    </w:p>
    <w:p>
      <w:pPr>
        <w:jc w:val="center"/>
      </w:pPr>
      <w:r>
        <w:rPr>
          <w:b/>
          <w:color w:val="2E75B6"/>
          <w:sz w:val="32"/>
        </w:rPr>
        <w:t>Banking &amp; Financial Services RAG Pipeline</w:t>
      </w:r>
    </w:p>
    <w:p>
      <w:pPr>
        <w:jc w:val="center"/>
      </w:pPr>
      <w:r>
        <w:rPr>
          <w:i/>
          <w:color w:val="262626"/>
          <w:sz w:val="22"/>
        </w:rPr>
        <w:t>Production-grade Retrieval-Augmented Generation system</w:t>
        <w:br/>
        <w:t>delivering citation-grounded compliance answers</w:t>
        <w:br/>
        <w:t>with confidence scoring and automated escalation paths</w:t>
      </w:r>
    </w:p>
    <w:p/>
    <w:p/>
    <w:p/>
    <w:p/>
    <w:p>
      <w:pPr>
        <w:jc w:val="center"/>
      </w:pPr>
      <w:r>
        <w:rPr>
          <w:b/>
          <w:color w:val="1F3964"/>
          <w:sz w:val="21"/>
        </w:rPr>
        <w:t xml:space="preserve">Domain:  </w:t>
      </w:r>
      <w:r>
        <w:rPr>
          <w:color w:val="262626"/>
          <w:sz w:val="21"/>
        </w:rPr>
        <w:t>Banking / Financial Services Compliance</w:t>
      </w:r>
    </w:p>
    <w:p>
      <w:pPr>
        <w:jc w:val="center"/>
      </w:pPr>
      <w:r>
        <w:rPr>
          <w:b/>
          <w:color w:val="1F3964"/>
          <w:sz w:val="21"/>
        </w:rPr>
        <w:t xml:space="preserve">Stack:  </w:t>
      </w:r>
      <w:r>
        <w:rPr>
          <w:color w:val="262626"/>
          <w:sz w:val="21"/>
        </w:rPr>
        <w:t>FastAPI · Gemini 1.5 Flash · ChromaDB · BGE · Cross-Encoder</w:t>
      </w:r>
    </w:p>
    <w:p>
      <w:pPr>
        <w:jc w:val="center"/>
      </w:pPr>
      <w:r>
        <w:rPr>
          <w:b/>
          <w:color w:val="1F3964"/>
          <w:sz w:val="21"/>
        </w:rPr>
        <w:t xml:space="preserve">Eval:  </w:t>
      </w:r>
      <w:r>
        <w:rPr>
          <w:color w:val="262626"/>
          <w:sz w:val="21"/>
        </w:rPr>
        <w:t>RAGAS — Faithfulness ≥ 0.90  |  Context Recall ≥ 0.85</w:t>
      </w:r>
    </w:p>
    <w:p>
      <w:pPr>
        <w:jc w:val="center"/>
      </w:pPr>
      <w:r>
        <w:rPr>
          <w:b/>
          <w:color w:val="1F3964"/>
          <w:sz w:val="21"/>
        </w:rPr>
        <w:t xml:space="preserve">Trust:  </w:t>
      </w:r>
      <w:r>
        <w:rPr>
          <w:color w:val="262626"/>
          <w:sz w:val="21"/>
        </w:rPr>
        <w:t>AI-Recommend / Human-Approve</w:t>
      </w:r>
    </w:p>
    <w:p>
      <w:pPr>
        <w:jc w:val="center"/>
      </w:pPr>
      <w:r>
        <w:rPr>
          <w:b/>
          <w:color w:val="1F3964"/>
          <w:sz w:val="21"/>
        </w:rPr>
        <w:t xml:space="preserve">Date:  </w:t>
      </w:r>
      <w:r>
        <w:rPr>
          <w:color w:val="262626"/>
          <w:sz w:val="21"/>
        </w:rPr>
        <w:t>June 2025</w:t>
      </w: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1. EXECUTIVE SUMMARY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40" w:after="60"/>
      </w:pPr>
      <w:r>
        <w:rPr>
          <w:b w:val="0"/>
          <w:i w:val="0"/>
          <w:color w:val="262626"/>
          <w:sz w:val="21"/>
        </w:rPr>
        <w:t>The Compliance Knowledge Agent is a production-grade Retrieval-Augmented Generation (RAG) system for banking and financial services. It enables compliance officers to ask natural-language questions against a bank's full policy corpus and receive structured, citation-grounded answers within seconds.</w:t>
      </w:r>
    </w:p>
    <w:p>
      <w:pPr>
        <w:spacing w:before="40" w:after="60"/>
      </w:pPr>
      <w:r>
        <w:rPr>
          <w:b w:val="0"/>
          <w:i w:val="0"/>
          <w:color w:val="262626"/>
          <w:sz w:val="21"/>
        </w:rPr>
        <w:t>Every answer carries a confidence tier (HIGH / MEDIUM / LOW), inline policy citations, and an automatic escalation flag to ensure borderline queries reach a qualified human reviewer before any regulatory action is taken.</w:t>
      </w:r>
    </w:p>
    <w:p>
      <w:pPr>
        <w:spacing w:before="160" w:after="40"/>
      </w:pPr>
      <w:r>
        <w:rPr>
          <w:b/>
          <w:color w:val="2E75B6"/>
          <w:sz w:val="24"/>
        </w:rPr>
        <w:t>Key Capabilities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Natural-language Q&amp;A over 28 compliance documents — policies, regulations, audit findings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Hierarchical chunking with section-title preservation for precise citations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BGE-small-en-v1.5 local embeddings — no data leaves the organisation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Cross-encoder reranker (ms-marco-MiniLM-L-6-v2) for high-precision retrieval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Gemini 1.5 Flash LLM with citation-enforced structured prompting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RAGAS evaluation — Faithfulness, Context Recall, Context Precision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AI-Recommend / Human-Approve trust architecture with automatic escalation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FastAPI REST interface with full OpenAPI / Swagger documentation</w:t>
      </w: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2. ARCHITECTURE OVERVIEW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40" w:after="60"/>
      </w:pPr>
      <w:r>
        <w:rPr>
          <w:b w:val="0"/>
          <w:i w:val="0"/>
          <w:color w:val="262626"/>
          <w:sz w:val="21"/>
        </w:rPr>
        <w:t>The system is split into two cooperating pipelines: an offline ingestion pipeline that loads, chunks, embeds, and stores documents; and a real-time query pipeline that retrieves, re-ranks, and generates grounded answers.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0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8"/>
        </w:rPr>
        <w:t>Figure 1 — System architecture: ingestion pipeline (left) and query pipeline (right)</w:t>
      </w:r>
    </w:p>
    <w:p>
      <w:pPr>
        <w:spacing w:before="160" w:after="40"/>
      </w:pPr>
      <w:r>
        <w:rPr>
          <w:b/>
          <w:color w:val="2E75B6"/>
          <w:sz w:val="24"/>
        </w:rPr>
        <w:t>Ingestion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Parameter</w:t>
            </w:r>
          </w:p>
        </w:tc>
        <w:tc>
          <w:tcPr>
            <w:tcW w:type="dxa" w:w="460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Document Loader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txt / pdf</w:t>
            </w:r>
          </w:p>
        </w:tc>
        <w:tc>
          <w:tcPr>
            <w:tcW w:type="dxa" w:w="46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Extracts text + metadata (doc_id, type, section title)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Hierarchical Chunker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512 chars / 64 overlap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Preserves section headings for citation accuracy</w:t>
            </w:r>
          </w:p>
        </w:tc>
      </w:tr>
      <w:tr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BGE-small Embedder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384-dim vectors</w:t>
            </w:r>
          </w:p>
        </w:tc>
        <w:tc>
          <w:tcPr>
            <w:tcW w:type="dxa" w:w="46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Local HuggingFace model — no external API calls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ChromaDB Store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HNSW cosine index</w:t>
            </w:r>
          </w:p>
        </w:tc>
        <w:tc>
          <w:tcPr>
            <w:tcW w:type="dxa" w:w="46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Persistent vector database with metadata filtering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Query Pipeline — Step-by-Step Flow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26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8"/>
        </w:rPr>
        <w:t>Figure 2 — RAG query pipeline: embed → search → rerank → generate → escalate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7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244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880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88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57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</w:t>
            </w:r>
          </w:p>
        </w:tc>
        <w:tc>
          <w:tcPr>
            <w:tcW w:type="dxa" w:w="244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Question Embedding</w:t>
            </w:r>
          </w:p>
        </w:tc>
        <w:tc>
          <w:tcPr>
            <w:tcW w:type="dxa" w:w="288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BGE-small-en-v1.5</w:t>
            </w:r>
          </w:p>
        </w:tc>
        <w:tc>
          <w:tcPr>
            <w:tcW w:type="dxa" w:w="388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Embed user question to 384-dim vector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2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Vector Search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ChromaDB top-10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Cosine similarity candidate recall</w:t>
            </w:r>
          </w:p>
        </w:tc>
      </w:tr>
      <w:tr>
        <w:tc>
          <w:tcPr>
            <w:tcW w:type="dxa" w:w="57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3</w:t>
            </w:r>
          </w:p>
        </w:tc>
        <w:tc>
          <w:tcPr>
            <w:tcW w:type="dxa" w:w="244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Cross-Encoder Rerank</w:t>
            </w:r>
          </w:p>
        </w:tc>
        <w:tc>
          <w:tcPr>
            <w:tcW w:type="dxa" w:w="288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ms-marco-MiniLM-L-6-v2</w:t>
            </w:r>
          </w:p>
        </w:tc>
        <w:tc>
          <w:tcPr>
            <w:tcW w:type="dxa" w:w="388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Precision re-scoring; select top-5</w:t>
            </w:r>
          </w:p>
        </w:tc>
      </w:tr>
      <w:tr>
        <w:tc>
          <w:tcPr>
            <w:tcW w:type="dxa" w:w="576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4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LLM Generation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Gemini 1.5 Flash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Citation-enforced structured answer</w:t>
            </w:r>
          </w:p>
        </w:tc>
      </w:tr>
      <w:tr>
        <w:tc>
          <w:tcPr>
            <w:tcW w:type="dxa" w:w="57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5</w:t>
            </w:r>
          </w:p>
        </w:tc>
        <w:tc>
          <w:tcPr>
            <w:tcW w:type="dxa" w:w="244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Escalation Check</w:t>
            </w:r>
          </w:p>
        </w:tc>
        <w:tc>
          <w:tcPr>
            <w:tcW w:type="dxa" w:w="288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Reranker score &lt; 0.50</w:t>
            </w:r>
          </w:p>
        </w:tc>
        <w:tc>
          <w:tcPr>
            <w:tcW w:type="dxa" w:w="388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Flag low-confidence for human review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3. TECHNOLOGY STACK</w:t>
      </w:r>
    </w:p>
    <w:p>
      <w:pPr>
        <w:pBdr>
          <w:bottom w:val="single" w:sz="6" w:space="1" w:color="1F3964"/>
        </w:pBd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60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1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464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API Framework</w:t>
            </w:r>
          </w:p>
        </w:tc>
        <w:tc>
          <w:tcPr>
            <w:tcW w:type="dxa" w:w="316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FastAPI</w:t>
            </w:r>
          </w:p>
        </w:tc>
        <w:tc>
          <w:tcPr>
            <w:tcW w:type="dxa" w:w="4464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Async, fully typed, auto-generated OpenAPI docs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LLM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Google Gemini 1.5 Flash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Cost-effective; 1 M-token context window</w:t>
            </w:r>
          </w:p>
        </w:tc>
      </w:tr>
      <w:tr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Embeddings</w:t>
            </w:r>
          </w:p>
        </w:tc>
        <w:tc>
          <w:tcPr>
            <w:tcW w:type="dxa" w:w="316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BAAI/bge-small-en-v1.5</w:t>
            </w:r>
          </w:p>
        </w:tc>
        <w:tc>
          <w:tcPr>
            <w:tcW w:type="dxa" w:w="4464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Local HuggingFace; retrieval-optimised; 384-dim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Vector DB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ChromaDB (PersistentClient)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Zero-infrastructure; cosine similarity; metadata filtering</w:t>
            </w:r>
          </w:p>
        </w:tc>
      </w:tr>
      <w:tr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Reranker</w:t>
            </w:r>
          </w:p>
        </w:tc>
        <w:tc>
          <w:tcPr>
            <w:tcW w:type="dxa" w:w="316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cross-encoder/ms-marco-MiniLM-L-6-v2</w:t>
            </w:r>
          </w:p>
        </w:tc>
        <w:tc>
          <w:tcPr>
            <w:tcW w:type="dxa" w:w="4464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High precision; 22 M params; CPU-runnable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Evaluation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RAGAS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Faithfulness, Context Recall, Context Precision</w:t>
            </w:r>
          </w:p>
        </w:tc>
      </w:tr>
      <w:tr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Domain Model</w:t>
            </w:r>
          </w:p>
        </w:tc>
        <w:tc>
          <w:tcPr>
            <w:tcW w:type="dxa" w:w="316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DDD — 3 bounded contexts</w:t>
            </w:r>
          </w:p>
        </w:tc>
        <w:tc>
          <w:tcPr>
            <w:tcW w:type="dxa" w:w="4464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Policy / Audit / Regulation separation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Language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Python 3.12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Type-annotated throughout; Pydantic v2 settings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4. DOCUMENT CORPUS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40" w:after="60"/>
      </w:pPr>
      <w:r>
        <w:rPr>
          <w:b w:val="0"/>
          <w:i w:val="0"/>
          <w:color w:val="262626"/>
          <w:sz w:val="21"/>
        </w:rPr>
        <w:t>The system indexes 28 sanitised synthetic compliance documents across three document types, providing broad coverage of the regulatory and policy landscape.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6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Document Type</w:t>
            </w:r>
          </w:p>
        </w:tc>
        <w:tc>
          <w:tcPr>
            <w:tcW w:type="dxa" w:w="864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5760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</w:tr>
      <w:tr>
        <w:tc>
          <w:tcPr>
            <w:tcW w:type="dxa" w:w="316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Policy Documents (POL-*)</w:t>
            </w:r>
          </w:p>
        </w:tc>
        <w:tc>
          <w:tcPr>
            <w:tcW w:type="dxa" w:w="864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20</w:t>
            </w:r>
          </w:p>
        </w:tc>
        <w:tc>
          <w:tcPr>
            <w:tcW w:type="dxa" w:w="57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AML, KYC, Credit Risk, Operational Risk, Data Privacy, Cybersecurity, Liquidity, Third-Party, Fraud, Whistleblower, Market Conduct, Interest Rate, Consumer Protection, ESG, Compliance, Training, Conduct, Sanctions/OFAC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Regulatory Bulletins (REG-*)</w:t>
            </w:r>
          </w:p>
        </w:tc>
        <w:tc>
          <w:tcPr>
            <w:tcW w:type="dxa" w:w="864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6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Basel III, Dodd-Frank, CFPB 2025 Priorities, Basel IV/FRTB, OCC Model Risk, CTA Beneficial Ownership</w:t>
            </w:r>
          </w:p>
        </w:tc>
      </w:tr>
      <w:tr>
        <w:tc>
          <w:tcPr>
            <w:tcW w:type="dxa" w:w="316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Audit Findings (AUD-FND-*)</w:t>
            </w:r>
          </w:p>
        </w:tc>
        <w:tc>
          <w:tcPr>
            <w:tcW w:type="dxa" w:w="864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4</w:t>
            </w:r>
          </w:p>
        </w:tc>
        <w:tc>
          <w:tcPr>
            <w:tcW w:type="dxa" w:w="57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Q1 2025 AML, Q2 2025 KYC, Q3 2025 Cybersecurity, Q4 2024 Credit Risk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5. API REFERENCE</w:t>
      </w:r>
    </w:p>
    <w:p>
      <w:pPr>
        <w:pBdr>
          <w:bottom w:val="single" w:sz="6" w:space="1" w:color="1F3964"/>
        </w:pBd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00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619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POST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/api/v1/ask</w:t>
            </w:r>
          </w:p>
        </w:tc>
        <w:tc>
          <w:tcPr>
            <w:tcW w:type="dxa" w:w="61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Submit a compliance question; returns answer + citations + confidence + escalation flag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POST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/api/v1/ingest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Trigger document ingestion — load, chunk, embed, store; supports reset flag</w:t>
            </w:r>
          </w:p>
        </w:tc>
      </w:tr>
      <w:tr>
        <w:tc>
          <w:tcPr>
            <w:tcW w:type="dxa" w:w="10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GET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/api/v1/health</w:t>
            </w:r>
          </w:p>
        </w:tc>
        <w:tc>
          <w:tcPr>
            <w:tcW w:type="dxa" w:w="61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Health check — returns system status, document count, ChromaDB status</w:t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Sample Request — POST /api/v1/ask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"question": "What are the EDD requirements for high-risk customers?",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"top_k": 10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}</w:t>
      </w:r>
    </w:p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Sample Response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{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"answer":              "High-risk customers require Enhanced Due Diligence (EDD)...",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"confidence":          "HIGH",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"citations":           ["Source: POL-KYC-002, Section: ENHANCED DUE DILIGENCE"],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"escalation_required": false,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"latency_ms":          1243,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"model":               "gemini-1.5-flash"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}</w:t>
      </w:r>
    </w:p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Response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9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15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604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answer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string</w:t>
            </w:r>
          </w:p>
        </w:tc>
        <w:tc>
          <w:tcPr>
            <w:tcW w:type="dxa" w:w="604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LLM-generated answer with inline citations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confidence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enum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HIGH / MEDIUM / LOW — derived from reranker score</w:t>
            </w:r>
          </w:p>
        </w:tc>
      </w:tr>
      <w:tr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citations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string[]</w:t>
            </w:r>
          </w:p>
        </w:tc>
        <w:tc>
          <w:tcPr>
            <w:tcW w:type="dxa" w:w="604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List of cited source sections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escalation_required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bool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True when confidence is LOW or query crosses trust boundary</w:t>
            </w:r>
          </w:p>
        </w:tc>
      </w:tr>
      <w:tr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escalation_reason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string</w:t>
            </w:r>
          </w:p>
        </w:tc>
        <w:tc>
          <w:tcPr>
            <w:tcW w:type="dxa" w:w="604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Human-readable explanation for escalation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latency_ms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int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End-to-end pipeline latency in milliseconds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6. RAGAS EVALUATION FRAMEWORK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40" w:after="60"/>
      </w:pPr>
      <w:r>
        <w:rPr>
          <w:b w:val="0"/>
          <w:i w:val="0"/>
          <w:color w:val="262626"/>
          <w:sz w:val="21"/>
        </w:rPr>
        <w:t>The pipeline is evaluated using RAGAS against a 10-pair golden Q&amp;A set. Three metrics measure distinct quality dimensions: answer faithfulness, retrieval recall, and retrieval precision.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4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115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619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It Measures</w:t>
            </w:r>
          </w:p>
        </w:tc>
      </w:tr>
      <w:tr>
        <w:tc>
          <w:tcPr>
            <w:tcW w:type="dxa" w:w="244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Faithfulness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≥ 0.90</w:t>
            </w:r>
          </w:p>
        </w:tc>
        <w:tc>
          <w:tcPr>
            <w:tcW w:type="dxa" w:w="61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Answer claims are grounded in retrieved context — measures hallucination risk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Context Recall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≥ 0.85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Retrieved chunks collectively cover the ground-truth answer</w:t>
            </w:r>
          </w:p>
        </w:tc>
      </w:tr>
      <w:tr>
        <w:tc>
          <w:tcPr>
            <w:tcW w:type="dxa" w:w="244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Context Precision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≥ 0.80</w:t>
            </w:r>
          </w:p>
        </w:tc>
        <w:tc>
          <w:tcPr>
            <w:tcW w:type="dxa" w:w="61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Retrieved chunks are relevant and not noisy</w:t>
            </w:r>
          </w:p>
        </w:tc>
      </w:tr>
    </w:tbl>
    <w:p>
      <w:pPr>
        <w:spacing w:after="6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49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as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9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8"/>
        </w:rPr>
        <w:t>Figure 3 — RAGAS evaluation: target vs. achieved scores</w:t>
      </w:r>
    </w:p>
    <w:p>
      <w:pPr>
        <w:spacing w:before="160" w:after="40"/>
      </w:pPr>
      <w:r>
        <w:rPr>
          <w:b/>
          <w:color w:val="2E75B6"/>
          <w:sz w:val="24"/>
        </w:rPr>
        <w:t>Run the Evaluation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python scripts/run_evaluation.py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# Results saved to data/evaluation_results.json</w:t>
      </w:r>
    </w:p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7. ARCHITECTURE DECISION RECORDS (ADRS)</w:t>
      </w:r>
    </w:p>
    <w:p>
      <w:pPr>
        <w:pBdr>
          <w:bottom w:val="single" w:sz="6" w:space="1" w:color="1F3964"/>
        </w:pBd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0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ADR</w:t>
            </w:r>
          </w:p>
        </w:tc>
        <w:tc>
          <w:tcPr>
            <w:tcW w:type="dxa" w:w="2160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259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Parameters</w:t>
            </w:r>
          </w:p>
        </w:tc>
        <w:tc>
          <w:tcPr>
            <w:tcW w:type="dxa" w:w="403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0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ADR-001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Hierarchical Chunking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512 chars / 64 overlap</w:t>
            </w:r>
          </w:p>
        </w:tc>
        <w:tc>
          <w:tcPr>
            <w:tcW w:type="dxa" w:w="403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Section-title preservation for precise citations; balances granularity vs. completeness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ADR-002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BGE-small-en-v1.5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Local HF; 384-dim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Best small model for retrieval; runs fully locally — no external API data exposure</w:t>
            </w:r>
          </w:p>
        </w:tc>
      </w:tr>
      <w:tr>
        <w:tc>
          <w:tcPr>
            <w:tcW w:type="dxa" w:w="10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ADR-003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ChromaDB PersistentClient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HNSW; cosine similarity</w:t>
            </w:r>
          </w:p>
        </w:tc>
        <w:tc>
          <w:tcPr>
            <w:tcW w:type="dxa" w:w="403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Zero-infrastructure; metadata filtering; easy reset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ADR-004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Cross-Encoder Reranker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ms-marco-MiniLM-L-6-v2; 22 M params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High-precision re-scoring on MS MARCO; CPU-runnable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8. TRUST ARCHITECTURE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40" w:after="60"/>
      </w:pPr>
      <w:r>
        <w:rPr>
          <w:b w:val="0"/>
          <w:i w:val="0"/>
          <w:color w:val="262626"/>
          <w:sz w:val="21"/>
        </w:rPr>
        <w:t>Every answer is tagged AI-Recommend / Human-Approve. No AI output is intended to be acted upon without human review. The trust boundary canvas documents which actions the AI may autonomously recommend vs. those requiring qualified human approval.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59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_pyram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8"/>
        </w:rPr>
        <w:t>Figure 4 — Trust architecture pyramid: four levels from AI-Autonomous to Human-Only</w:t>
      </w:r>
    </w:p>
    <w:p>
      <w:pPr>
        <w:spacing w:before="160" w:after="40"/>
      </w:pPr>
      <w:r>
        <w:rPr>
          <w:b/>
          <w:color w:val="2E75B6"/>
          <w:sz w:val="24"/>
        </w:rPr>
        <w:t>Automatic Escalation Triggers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Low-confidence response — cross-encoder reranker score &lt; 0.50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Jurisdiction-specific queries — state law, EU/GDPR, APAC-specific regulations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Policy boundary questions — ambiguity between two or more policies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Out-of-corpus queries — question cannot be answered from indexed documents</w:t>
      </w: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9. FAILURE MODE REGISTER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40" w:after="60"/>
      </w:pPr>
      <w:r>
        <w:rPr>
          <w:b w:val="0"/>
          <w:i w:val="0"/>
          <w:color w:val="262626"/>
          <w:sz w:val="21"/>
        </w:rPr>
        <w:t>Eight failure modes are documented with Severity × Occurrence × Detectability Risk Priority Numbers (RPNs). Two failure modes are rated CRITICAL.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08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59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Failure Mode</w:t>
            </w:r>
          </w:p>
        </w:tc>
        <w:tc>
          <w:tcPr>
            <w:tcW w:type="dxa" w:w="1152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20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RPN</w:t>
            </w:r>
          </w:p>
        </w:tc>
        <w:tc>
          <w:tcPr>
            <w:tcW w:type="dxa" w:w="4320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10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FM-001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 Misstatement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CRITICAL</w:t>
            </w:r>
          </w:p>
        </w:tc>
        <w:tc>
          <w:tcPr>
            <w:tcW w:type="dxa" w:w="72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120</w:t>
            </w:r>
          </w:p>
        </w:tc>
        <w:tc>
          <w:tcPr>
            <w:tcW w:type="dxa" w:w="432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RAGAS faithfulness checks + mandatory human review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FM-002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Stale Policy Retrieval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HIGH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120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Scheduled re-ingestion + document version metadata</w:t>
            </w:r>
          </w:p>
        </w:tc>
      </w:tr>
      <w:tr>
        <w:tc>
          <w:tcPr>
            <w:tcW w:type="dxa" w:w="10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FM-003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Out-of-Corpus Query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HIGH</w:t>
            </w:r>
          </w:p>
        </w:tc>
        <w:tc>
          <w:tcPr>
            <w:tcW w:type="dxa" w:w="72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112</w:t>
            </w:r>
          </w:p>
        </w:tc>
        <w:tc>
          <w:tcPr>
            <w:tcW w:type="dxa" w:w="432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Escalation trigger + low-confidence flag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FM-004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Reranker Failure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72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Fallback to top-1 cosine + escalation</w:t>
            </w:r>
          </w:p>
        </w:tc>
      </w:tr>
      <w:tr>
        <w:tc>
          <w:tcPr>
            <w:tcW w:type="dxa" w:w="10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FM-005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LLM API Outage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72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60</w:t>
            </w:r>
          </w:p>
        </w:tc>
        <w:tc>
          <w:tcPr>
            <w:tcW w:type="dxa" w:w="432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Retry with exponential back-off; graceful error response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FM-006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Embedding Drift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LOW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48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Pinned model version; re-index on model update</w:t>
            </w:r>
          </w:p>
        </w:tc>
      </w:tr>
      <w:tr>
        <w:tc>
          <w:tcPr>
            <w:tcW w:type="dxa" w:w="1008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FM-007</w:t>
            </w:r>
          </w:p>
        </w:tc>
        <w:tc>
          <w:tcPr>
            <w:tcW w:type="dxa" w:w="259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PII Leakage in Prompt</w:t>
            </w:r>
          </w:p>
        </w:tc>
        <w:tc>
          <w:tcPr>
            <w:tcW w:type="dxa" w:w="1152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MEDIUM</w:t>
            </w:r>
          </w:p>
        </w:tc>
        <w:tc>
          <w:tcPr>
            <w:tcW w:type="dxa" w:w="72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80</w:t>
            </w:r>
          </w:p>
        </w:tc>
        <w:tc>
          <w:tcPr>
            <w:tcW w:type="dxa" w:w="432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Input sanitisation layer before embedding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FM-008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Context Window Overflow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LOW</w:t>
            </w:r>
          </w:p>
        </w:tc>
        <w:tc>
          <w:tcPr>
            <w:tcW w:type="dxa" w:w="72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36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Token counting + chunk truncation guard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10. DOMAIN MODEL — DDD BOUNDED CONTEXTS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40" w:after="60"/>
      </w:pPr>
      <w:r>
        <w:rPr>
          <w:b w:val="0"/>
          <w:i w:val="0"/>
          <w:color w:val="262626"/>
          <w:sz w:val="21"/>
        </w:rPr>
        <w:t>The codebase is structured around three Domain-Driven Design bounded contexts. Each context owns its aggregate root and communicates through well-defined interfaces.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56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d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595959"/>
          <w:sz w:val="18"/>
        </w:rPr>
        <w:t>Figure 5 — Three DDD bounded contexts: Policy, Audit, Regulation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9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Context</w:t>
            </w:r>
          </w:p>
        </w:tc>
        <w:tc>
          <w:tcPr>
            <w:tcW w:type="dxa" w:w="201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Aggregate Root</w:t>
            </w:r>
          </w:p>
        </w:tc>
        <w:tc>
          <w:tcPr>
            <w:tcW w:type="dxa" w:w="2304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Entity</w:t>
            </w:r>
          </w:p>
        </w:tc>
        <w:tc>
          <w:tcPr>
            <w:tcW w:type="dxa" w:w="2160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Package</w:t>
            </w:r>
          </w:p>
        </w:tc>
        <w:tc>
          <w:tcPr>
            <w:tcW w:type="dxa" w:w="2016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29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Policy</w:t>
            </w:r>
          </w:p>
        </w:tc>
        <w:tc>
          <w:tcPr>
            <w:tcW w:type="dxa" w:w="201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PolicyDocument</w:t>
            </w:r>
          </w:p>
        </w:tc>
        <w:tc>
          <w:tcPr>
            <w:tcW w:type="dxa" w:w="2304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DocumentChunk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src/domain/policy/</w:t>
            </w:r>
          </w:p>
        </w:tc>
        <w:tc>
          <w:tcPr>
            <w:tcW w:type="dxa" w:w="201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Indexable policy docs; chunked for retrieval</w:t>
            </w:r>
          </w:p>
        </w:tc>
      </w:tr>
      <w:tr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Audit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AuditReport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AuditFinding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src/domain/audit/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Quarterly findings; risk ratings; remediation</w:t>
            </w:r>
          </w:p>
        </w:tc>
      </w:tr>
      <w:tr>
        <w:tc>
          <w:tcPr>
            <w:tcW w:type="dxa" w:w="129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Regulation</w:t>
            </w:r>
          </w:p>
        </w:tc>
        <w:tc>
          <w:tcPr>
            <w:tcW w:type="dxa" w:w="201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RegulatoryBulletin</w:t>
            </w:r>
          </w:p>
        </w:tc>
        <w:tc>
          <w:tcPr>
            <w:tcW w:type="dxa" w:w="2304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RegulatoryRequirement</w:t>
            </w:r>
          </w:p>
        </w:tc>
        <w:tc>
          <w:tcPr>
            <w:tcW w:type="dxa" w:w="2160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src/domain/regulation/</w:t>
            </w:r>
          </w:p>
        </w:tc>
        <w:tc>
          <w:tcPr>
            <w:tcW w:type="dxa" w:w="2016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 guidance; effective dates; jurisdiction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11. QUICK START GUIDE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160" w:after="40"/>
      </w:pPr>
      <w:r>
        <w:rPr>
          <w:b/>
          <w:color w:val="2E75B6"/>
          <w:sz w:val="24"/>
        </w:rPr>
        <w:t>Step 1: Prerequisites</w:t>
      </w:r>
    </w:p>
    <w:p>
      <w:pPr>
        <w:spacing w:before="40" w:after="60"/>
      </w:pPr>
      <w:r>
        <w:rPr>
          <w:b w:val="0"/>
          <w:i w:val="0"/>
          <w:color w:val="262626"/>
          <w:sz w:val="21"/>
        </w:rPr>
        <w:t>Python 3.12+ required. Open PowerShell in D:\Capstone_Project_Demo.</w:t>
      </w:r>
    </w:p>
    <w:p>
      <w:pPr>
        <w:spacing w:before="160" w:after="40"/>
      </w:pPr>
      <w:r>
        <w:rPr>
          <w:b/>
          <w:color w:val="2E75B6"/>
          <w:sz w:val="24"/>
        </w:rPr>
        <w:t>Step 2: Install Dependencies</w:t>
      </w:r>
    </w:p>
    <w:p>
      <w:pPr>
        <w:spacing w:before="40" w:after="60"/>
      </w:pPr>
      <w:r>
        <w:rPr>
          <w:b w:val="0"/>
          <w:i w:val="0"/>
          <w:color w:val="262626"/>
          <w:sz w:val="21"/>
        </w:rPr>
        <w:t>Install all required packages (first run downloads BGE-small ~120 MB and cross-encoder ~90 MB):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pip install -r requirements.txt</w:t>
      </w:r>
    </w:p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Step 3: Configure Environment</w:t>
      </w:r>
    </w:p>
    <w:p>
      <w:pPr>
        <w:spacing w:before="40" w:after="60"/>
      </w:pPr>
      <w:r>
        <w:rPr>
          <w:b w:val="0"/>
          <w:i w:val="0"/>
          <w:color w:val="262626"/>
          <w:sz w:val="21"/>
        </w:rPr>
        <w:t>Copy .env.example to .env and add your Gemini API key (https://aistudio.google.com/app/apikey):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copy .env.example .env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notepad .env   # add GEMINI_API_KEY=...</w:t>
      </w:r>
    </w:p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Step 4: Ingest Documents</w:t>
      </w:r>
    </w:p>
    <w:p>
      <w:pPr>
        <w:spacing w:before="40" w:after="60"/>
      </w:pPr>
      <w:r>
        <w:rPr>
          <w:b w:val="0"/>
          <w:i w:val="0"/>
          <w:color w:val="262626"/>
          <w:sz w:val="21"/>
        </w:rPr>
        <w:t>Load, chunk, embed and store all 28 documents into ChromaDB (expected: ~420 chunks, dim=384):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python scripts/ingest_documents.py</w:t>
      </w:r>
    </w:p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Step 5: Start the API Server</w:t>
      </w:r>
    </w:p>
    <w:p>
      <w:pPr>
        <w:spacing w:before="40" w:after="60"/>
      </w:pPr>
      <w:r>
        <w:rPr>
          <w:b w:val="0"/>
          <w:i w:val="0"/>
          <w:color w:val="262626"/>
          <w:sz w:val="21"/>
        </w:rPr>
        <w:t>Launch FastAPI. Swagger UI available at http://localhost:8000/docs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python main.py</w:t>
      </w:r>
    </w:p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Step 6: Ask a Compliance Question</w:t>
      </w:r>
    </w:p>
    <w:p>
      <w:pPr>
        <w:spacing w:before="40" w:after="60"/>
      </w:pPr>
      <w:r>
        <w:rPr>
          <w:b w:val="0"/>
          <w:i w:val="0"/>
          <w:color w:val="262626"/>
          <w:sz w:val="21"/>
        </w:rPr>
        <w:t>Submit a POST request to the /ask endpoint: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curl -X POST http://localhost:8000/api/v1/ask \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-H "Content-Type: application/json" \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 xml:space="preserve">  -d '{"question": "What is the SAR filing deadline under the AML policy?"}'</w:t>
      </w:r>
    </w:p>
    <w:p>
      <w:pPr>
        <w:spacing w:after="60"/>
      </w:pPr>
    </w:p>
    <w:p>
      <w:pPr>
        <w:spacing w:before="160" w:after="40"/>
      </w:pPr>
      <w:r>
        <w:rPr>
          <w:b/>
          <w:color w:val="2E75B6"/>
          <w:sz w:val="24"/>
        </w:rPr>
        <w:t>Step 7: Run RAGAS Evaluation</w:t>
      </w:r>
    </w:p>
    <w:p>
      <w:pPr>
        <w:spacing w:before="40" w:after="60"/>
      </w:pPr>
      <w:r>
        <w:rPr>
          <w:b w:val="0"/>
          <w:i w:val="0"/>
          <w:color w:val="262626"/>
          <w:sz w:val="21"/>
        </w:rPr>
        <w:t>Evaluate the pipeline against the golden Q&amp;A set:</w:t>
      </w:r>
    </w:p>
    <w:p>
      <w:pPr>
        <w:spacing w:before="0" w:after="0"/>
        <w:ind w:left="360"/>
      </w:pPr>
      <w:r>
        <w:rPr>
          <w:rFonts w:ascii="Courier New" w:hAnsi="Courier New"/>
          <w:color w:val="1F3964"/>
          <w:sz w:val="17"/>
          <w:shd w:val="clear" w:color="auto" w:fill="EEF2F7"/>
        </w:rPr>
        <w:t>python scripts/run_evaluation.py</w:t>
      </w:r>
    </w:p>
    <w:p>
      <w:pPr>
        <w:spacing w:after="60"/>
      </w:pPr>
    </w:p>
    <w:p>
      <w:r>
        <w:br w:type="page"/>
      </w:r>
    </w:p>
    <w:p>
      <w:pPr>
        <w:spacing w:before="280" w:after="40"/>
      </w:pPr>
      <w:r>
        <w:rPr>
          <w:b/>
          <w:color w:val="1F3964"/>
          <w:sz w:val="30"/>
        </w:rPr>
        <w:t>12. COMPLIANCE DISCLAIMER</w:t>
      </w:r>
    </w:p>
    <w:p>
      <w:pPr>
        <w:pBdr>
          <w:bottom w:val="single" w:sz="6" w:space="1" w:color="1F3964"/>
        </w:pBdr>
        <w:spacing w:after="80" w:before="0"/>
      </w:pPr>
    </w:p>
    <w:p>
      <w:pPr>
        <w:spacing w:before="40" w:after="60"/>
      </w:pPr>
      <w:r>
        <w:rPr>
          <w:b w:val="0"/>
          <w:i w:val="0"/>
          <w:color w:val="262626"/>
          <w:sz w:val="21"/>
        </w:rPr>
        <w:t>This system is a decision-support tool for qualified compliance professionals. It does not constitute legal advice and must not be used as the sole basis for any regulatory decision, filing, or enforcement action.</w:t>
      </w:r>
    </w:p>
    <w:p>
      <w:pPr>
        <w:spacing w:before="40" w:after="60"/>
      </w:pPr>
      <w:r>
        <w:rPr>
          <w:b/>
          <w:i w:val="0"/>
          <w:color w:val="262626"/>
          <w:sz w:val="21"/>
        </w:rPr>
        <w:t>All AI-generated answers require human review before action is taken.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The AI system may make errors, misinterpret regulatory language, or fail to retrieve the most current policy version.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Compliance officers must independently verify all citations before relying on them.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The escalation mechanism provides a safety net but does not replace professional judgement.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The system must be re-evaluated whenever the underlying policy corpus changes materially.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Model outputs are probabilistic — the same question may yield different answers across runs.</w:t>
      </w:r>
    </w:p>
    <w:p>
      <w:pPr>
        <w:spacing w:before="40" w:after="60"/>
      </w:pPr>
      <w:r>
        <w:rPr>
          <w:b w:val="0"/>
          <w:i/>
          <w:color w:val="262626"/>
          <w:sz w:val="21"/>
        </w:rPr>
        <w:t>The AI-Recommend / Human-Approve architecture ensures human expertise remains central to all compliance decisions. See docs/Trust_Boundary_Canvas.md for the full capability map.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