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color w:val="1F3964"/>
          <w:sz w:val="44"/>
        </w:rPr>
        <w:t>Compliance Knowledge Agent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Banking &amp; Financial Services RAG Pipeline</w:t>
      </w:r>
    </w:p>
    <w:p>
      <w:pPr>
        <w:spacing w:before="20" w:after="60"/>
      </w:pPr>
      <w:r>
        <w:rPr>
          <w:color w:val="262626"/>
          <w:sz w:val="21"/>
        </w:rPr>
        <w:t xml:space="preserve">A production-grade Retrieval-Augmented Generation (RAG) system enabling compliance officers to ask natural-language questions against a bank's policy corpus with </w:t>
      </w:r>
      <w:r>
        <w:rPr>
          <w:b/>
          <w:color w:val="262626"/>
          <w:sz w:val="21"/>
        </w:rPr>
        <w:t>citation-grounded answers</w:t>
      </w:r>
      <w:r>
        <w:rPr>
          <w:color w:val="262626"/>
          <w:sz w:val="21"/>
        </w:rPr>
        <w:t xml:space="preserve">, </w:t>
      </w:r>
      <w:r>
        <w:rPr>
          <w:b/>
          <w:color w:val="262626"/>
          <w:sz w:val="21"/>
        </w:rPr>
        <w:t>confidence scoring</w:t>
      </w:r>
      <w:r>
        <w:rPr>
          <w:color w:val="262626"/>
          <w:sz w:val="21"/>
        </w:rPr>
        <w:t xml:space="preserve">, and </w:t>
      </w:r>
      <w:r>
        <w:rPr>
          <w:b/>
          <w:color w:val="262626"/>
          <w:sz w:val="21"/>
        </w:rPr>
        <w:t>documented escalation paths</w:t>
      </w:r>
      <w:r>
        <w:rPr>
          <w:color w:val="262626"/>
          <w:sz w:val="21"/>
        </w:rPr>
        <w:t>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Architecture Overview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                COMPLIANCE KNOWLEDGE AGENT                  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                                                            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┌──────────┐   ┌──────────┐   ┌──────────┐   ┌─────────────┐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│ Document │   │Hierarchi-│   │ BGE-small│   │  ChromaDB   │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│ Loader   │──▶│cal Chunk-│──▶│ Embedder │──▶│ Vector Store│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│(txt/pdf) │   │  ing     │   │(local HF)│   │  (HNSW)     │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└──────────┘   └──────────┘   └──────────┘   └──────┬──────┘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                                                     │      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┌──────────────────────────────────────────────────────────┐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│                    QUERY TIME                            │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│                                                          │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│  Question ──▶ BGE Embed ──▶ Vector Search (top-10)      │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│                              ──▶ Cross-Encoder Rerank    │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│                                  (ms-marco-MiniLM-L-6)   │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│                                  ──▶ Gemini 1.5 Flash    │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│                                      (citation prompt)   │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│                                      ──▶ RAGResponse     │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│                                          + Escalation    │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└──────────────────────────────────────────────────────────┘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                                                            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Trust Architecture: AI-Recommend / Human-Approve              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/>
      </w:pPr>
    </w:p>
    <w:p>
      <w:pPr>
        <w:spacing w:before="140" w:after="20"/>
      </w:pPr>
      <w:r>
        <w:rPr>
          <w:b/>
          <w:color w:val="17756A"/>
          <w:sz w:val="23"/>
        </w:rPr>
        <w:t>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API Framework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FastAPI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Async, typed, auto-docs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LLM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Google Gemini 1.5 Flash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Cost-effective, 1M token context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Embeddings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BAAI/bge-small-en-v1.5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Local HF, retrieval-optimized, 384-dim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Vector DB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ChromaDB (persistent)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Zero-infrastructure, cosine similarity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Reranker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cross-encoder/ms-marco-MiniLM-L-6-v2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High precision, 22M params, CPU-runnable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Evaluation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RAGAS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Faithfulness, Context Recall, Precision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Domain Model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DDD (Policy / Audit / Regulation)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Bounded context separation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Project Structure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D:\Capstone_Project_Demo\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├── main.py                          # FastAPI application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├── config.py                        # Pydantic settings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├── requirements.txt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├── .env.example                     # Copy to .env and fill in API key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├── data/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├── synthetic_docs/              # 20 sanitized policy documents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POL-AML-001_*.txt        # Anti-Money Laundering Policy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POL-KYC-002_*.txt        # KYC &amp; CDD Policy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POL-CRM-003_*.txt        # Credit Risk Framework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POL-ORM-004_*.txt        # Operational Risk Policy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POL-DPR-005_*.txt        # Data Privacy &amp; GDPR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POL-CYB-006_*.txt        # Cybersecurity Policy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POL-LQD-007_*.txt        # Liquidity Risk Policy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POL-TPM-008_*.txt        # Third-Party Risk Policy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POL-FRD-009_*.txt        # Fraud Risk Policy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POL-WBS-010_*.txt        # Whistleblower Policy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POL-MKT-011_*.txt        # Market Conduct Policy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POL-IRR-012_*.txt        # Interest Rate Risk Policy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POL-CPR-013_*.txt        # Consumer Protection Policy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POL-ENV-014_*.txt        # ESG &amp; Climate Risk Policy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POL-CMP-015_*.txt        # Compliance Risk Program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POL-TRN-016_*.txt        # Training &amp; Competency Policy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POL-CON-018_*.txt        # Conduct Risk Policy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POL-AML-020_*.txt        # Sanctions / OFAC Policy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REG-BUL-001_*.txt        # Basel III Bulletin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REG-BUL-002_*.txt        # Dodd-Frank Bulletin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REG-BUL-003_*.txt        # CFPB 2025 Priorities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REG-BUL-004_*.txt        # Basel IV / FRTB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REG-BUL-005_*.txt        # OCC Model Risk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REG-BUL-006_*.txt        # CTA Beneficial Ownership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AUD-FND-001_*.txt        # Q1 2025 AML Audit Findings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AUD-FND-002_*.txt        # Q2 2025 KYC Audit Findings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AUD-FND-003_*.txt        # Q3 2025 Cybersecurity Findings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└── AUD-FND-004_*.txt        # Q4 2024 Credit Risk Findings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├── golden_set/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└── golden_qa_pairs.json     # 10 Q&amp;A pairs for RAGAS evaluation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└── chroma_db/                   # ChromaDB persistent storage (auto-created)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├── src/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├── domain/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policy/models.py         # PolicyDocument, DocumentChunk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audit/models.py          # AuditFinding, AuditReport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└── regulation/models.py     # RegulatoryRequirement, RegulatoryBulletin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├── ingestion/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document_loader.py       # Load txt/pdf, extract metadata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chunker.py               # Hierarchical chunking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└── embedder.py              # BGE-small embeddings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├── retrieval/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├── vector_store.py          # ChromaDB operations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└── reranker.py              # Cross-encoder reranking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├── generation/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└── llm_client.py            # Gemini API client + citation prompt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├── pipeline/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│   └── rag_pipeline.py          # Orchestrator + escalation logic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└── evaluation/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    └── ragas_eval.py            # RAGAS evaluation pipeline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├── scripts/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├── ingest_documents.py          # CLI: ingest documents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   └── run_evaluation.py            # CLI: run RAGAS evaluation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│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└── docs/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  ├── ADR_001_Chunking_Strategy.md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  ├── ADR_002_Embedding_Model.md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  ├── ADR_003_Vector_Database.md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  ├── ADR_004_Reranker.md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  ├── Trust_Boundary_Canvas.md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  └── Failure_Mode_Register.md</w:t>
      </w:r>
    </w:p>
    <w:p>
      <w:pPr>
        <w:spacing w:after="6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Quick Start</w:t>
      </w:r>
    </w:p>
    <w:p>
      <w:pPr>
        <w:spacing w:before="140" w:after="20"/>
      </w:pPr>
      <w:r>
        <w:rPr>
          <w:b/>
          <w:color w:val="17756A"/>
          <w:sz w:val="23"/>
        </w:rPr>
        <w:t>1. Prerequisites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# Python 3.11+ required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python --version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# Clone or open in D:\Capstone_Project_Demo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cd D:\Capstone_Project_Demo</w:t>
      </w:r>
    </w:p>
    <w:p>
      <w:pPr>
        <w:spacing w:after="60"/>
      </w:pPr>
    </w:p>
    <w:p>
      <w:pPr>
        <w:spacing w:before="140" w:after="20"/>
      </w:pPr>
      <w:r>
        <w:rPr>
          <w:b/>
          <w:color w:val="17756A"/>
          <w:sz w:val="23"/>
        </w:rPr>
        <w:t>2. Install Dependencies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pip install -r requirements.txt</w:t>
      </w:r>
    </w:p>
    <w:p>
      <w:pPr>
        <w:spacing w:after="60"/>
      </w:pPr>
    </w:p>
    <w:p>
      <w:pPr>
        <w:spacing w:before="20" w:after="60"/>
      </w:pPr>
      <w:r>
        <w:rPr>
          <w:b w:val="0"/>
          <w:i w:val="0"/>
          <w:color w:val="262626"/>
          <w:sz w:val="21"/>
        </w:rPr>
        <w:t>*First run downloads BGE-small (~120MB) and cross-encoder (~90MB) from HuggingFace.*</w:t>
      </w:r>
    </w:p>
    <w:p>
      <w:pPr>
        <w:spacing w:before="140" w:after="20"/>
      </w:pPr>
      <w:r>
        <w:rPr>
          <w:b/>
          <w:color w:val="17756A"/>
          <w:sz w:val="23"/>
        </w:rPr>
        <w:t>3. Configure Environment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copy .env.example .env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# Edit .env and add your GEMINI_API_KEY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notepad .env</w:t>
      </w:r>
    </w:p>
    <w:p>
      <w:pPr>
        <w:spacing w:after="60"/>
      </w:pPr>
    </w:p>
    <w:p>
      <w:pPr>
        <w:spacing w:before="20" w:after="60"/>
      </w:pPr>
      <w:r>
        <w:rPr>
          <w:b w:val="0"/>
          <w:i w:val="0"/>
          <w:color w:val="262626"/>
          <w:sz w:val="21"/>
        </w:rPr>
        <w:t>Get a Gemini API key at: https://aistudio.google.com/app/apikey</w:t>
      </w:r>
    </w:p>
    <w:p>
      <w:pPr>
        <w:spacing w:before="140" w:after="20"/>
      </w:pPr>
      <w:r>
        <w:rPr>
          <w:b/>
          <w:color w:val="17756A"/>
          <w:sz w:val="23"/>
        </w:rPr>
        <w:t>4. Ingest Documents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python scripts/ingest_documents.py</w:t>
      </w:r>
    </w:p>
    <w:p>
      <w:pPr>
        <w:spacing w:after="60"/>
      </w:pPr>
    </w:p>
    <w:p>
      <w:pPr>
        <w:spacing w:before="20" w:after="60"/>
      </w:pPr>
      <w:r>
        <w:rPr>
          <w:b w:val="0"/>
          <w:i w:val="0"/>
          <w:color w:val="262626"/>
          <w:sz w:val="21"/>
        </w:rPr>
        <w:t>Expected output: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Documents:  20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Chunks:     ~420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Embeddings: ~420 (dim=384)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DB total:   ~420</w:t>
      </w:r>
    </w:p>
    <w:p>
      <w:pPr>
        <w:spacing w:after="60"/>
      </w:pPr>
    </w:p>
    <w:p>
      <w:pPr>
        <w:spacing w:before="140" w:after="20"/>
      </w:pPr>
      <w:r>
        <w:rPr>
          <w:b/>
          <w:color w:val="17756A"/>
          <w:sz w:val="23"/>
        </w:rPr>
        <w:t>5. Start the API Server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python main.py</w:t>
      </w:r>
    </w:p>
    <w:p>
      <w:pPr>
        <w:spacing w:after="60"/>
      </w:pPr>
    </w:p>
    <w:p>
      <w:pPr>
        <w:spacing w:before="20" w:after="60"/>
      </w:pPr>
      <w:r>
        <w:rPr>
          <w:b w:val="0"/>
          <w:i w:val="0"/>
          <w:color w:val="262626"/>
          <w:sz w:val="21"/>
        </w:rPr>
        <w:t>API available at: http://localhost:8000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Swagger UI: http://localhost:8000/docs</w:t>
      </w:r>
    </w:p>
    <w:p>
      <w:pPr>
        <w:spacing w:before="140" w:after="20"/>
      </w:pPr>
      <w:r>
        <w:rPr>
          <w:b/>
          <w:color w:val="17756A"/>
          <w:sz w:val="23"/>
        </w:rPr>
        <w:t>6. Ask a Compliance Question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curl -X POST http://localhost:8000/api/v1/ask `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-H "Content-Type: application/json" `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-d '{"question": "What is the SAR filing deadline under the AML policy?"}'</w:t>
      </w:r>
    </w:p>
    <w:p>
      <w:pPr>
        <w:spacing w:after="60"/>
      </w:pPr>
    </w:p>
    <w:p>
      <w:pPr>
        <w:spacing w:before="140" w:after="20"/>
      </w:pPr>
      <w:r>
        <w:rPr>
          <w:b/>
          <w:color w:val="17756A"/>
          <w:sz w:val="23"/>
        </w:rPr>
        <w:t>7. Run RAGAS Evaluation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python scripts/run_evaluation.py</w:t>
      </w:r>
    </w:p>
    <w:p>
      <w:pPr>
        <w:spacing w:after="6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API Reference</w:t>
      </w:r>
    </w:p>
    <w:p>
      <w:pPr>
        <w:spacing w:before="140" w:after="20"/>
      </w:pPr>
      <w:r>
        <w:rPr>
          <w:b/>
          <w:color w:val="17756A"/>
          <w:sz w:val="23"/>
        </w:rPr>
        <w:t>POST /api/v1/ask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Submit a compliance question.</w:t>
      </w: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Request:</w:t>
      </w:r>
      <w:r>
        <w:rPr>
          <w:color w:val="262626"/>
          <w:sz w:val="21"/>
        </w:rPr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{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"question": "What are the EDD requirements for high-risk customers?",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"top_k": 10,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"document_type_filter": null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}</w:t>
      </w:r>
    </w:p>
    <w:p>
      <w:pPr>
        <w:spacing w:after="60"/>
      </w:pPr>
    </w:p>
    <w:p>
      <w:pPr>
        <w:spacing w:before="20" w:after="60"/>
      </w:pPr>
      <w:r>
        <w:rPr>
          <w:color w:val="262626"/>
          <w:sz w:val="21"/>
        </w:rPr>
      </w:r>
      <w:r>
        <w:rPr>
          <w:b/>
          <w:color w:val="262626"/>
          <w:sz w:val="21"/>
        </w:rPr>
        <w:t>Response:</w:t>
      </w:r>
      <w:r>
        <w:rPr>
          <w:color w:val="262626"/>
          <w:sz w:val="21"/>
        </w:rPr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{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"question": "What are the EDD requirements for high-risk customers?",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"answer": "High-risk customers require... [Source: POL-KYC-002, Section: ENHANCED DUE DILIGENCE]",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"confidence": "HIGH",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"citations": ["Source: POL-KYC-002, Section: ENHANCED DUE DILIGENCE FOR HIGH-RISK CUSTOMERS"],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"sources": [...],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"escalation_required": false,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"escalation_reason": "",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"latency_ms": 1243,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"model": "gemini-1.5-flash",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 xml:space="preserve">  "trust_notice": "AI-Recommend / Human-Approve: ..."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}</w:t>
      </w:r>
    </w:p>
    <w:p>
      <w:pPr>
        <w:spacing w:after="60"/>
      </w:pPr>
    </w:p>
    <w:p>
      <w:pPr>
        <w:spacing w:before="140" w:after="20"/>
      </w:pPr>
      <w:r>
        <w:rPr>
          <w:b/>
          <w:color w:val="17756A"/>
          <w:sz w:val="23"/>
        </w:rPr>
        <w:t>POST /api/v1/ingest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Trigger document ingestion.</w:t>
      </w:r>
    </w:p>
    <w:p>
      <w:pPr>
        <w:spacing w:before="20" w:after="60"/>
        <w:ind w:left="288"/>
      </w:pPr>
      <w:r>
        <w:rPr>
          <w:rFonts w:ascii="Courier New" w:hAnsi="Courier New"/>
          <w:b w:val="0"/>
          <w:i w:val="0"/>
          <w:color w:val="1F3964"/>
          <w:sz w:val="18"/>
          <w:shd w:val="clear" w:color="auto" w:fill="EEF2F7"/>
        </w:rPr>
        <w:t>{"docs_dir": null, "reset": false}</w:t>
      </w:r>
    </w:p>
    <w:p>
      <w:pPr>
        <w:spacing w:after="60"/>
      </w:pPr>
    </w:p>
    <w:p>
      <w:pPr>
        <w:spacing w:before="140" w:after="20"/>
      </w:pPr>
      <w:r>
        <w:rPr>
          <w:b/>
          <w:color w:val="17756A"/>
          <w:sz w:val="23"/>
        </w:rPr>
        <w:t>GET /api/v1/health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Health check and system status.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RAGAS Evaluation Results</w:t>
      </w:r>
    </w:p>
    <w:p>
      <w:pPr>
        <w:spacing w:before="20" w:after="60"/>
      </w:pPr>
      <w:r>
        <w:rPr>
          <w:color w:val="262626"/>
          <w:sz w:val="21"/>
        </w:rPr>
        <w:t xml:space="preserve">Target: </w:t>
      </w:r>
      <w:r>
        <w:rPr>
          <w:b/>
          <w:color w:val="262626"/>
          <w:sz w:val="21"/>
        </w:rPr>
        <w:t>Faithfulness ≥ 0.90, Context Recall ≥ 0.85</w:t>
      </w:r>
      <w:r>
        <w:rPr>
          <w:color w:val="262626"/>
          <w:sz w:val="21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Faithfulness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≥ 0.90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Answer claims are grounded in retrieved context (no hallucination)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Context Recall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≥ 0.85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Retrieved chunks cover the ground-truth answer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Context Precision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≥ 0.80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Retrieved chunks are relevant (not noisy)</w:t>
            </w:r>
          </w:p>
        </w:tc>
      </w:tr>
    </w:tbl>
    <w:p>
      <w:pPr>
        <w:spacing w:after="80"/>
      </w:pPr>
    </w:p>
    <w:p>
      <w:pPr>
        <w:spacing w:before="20" w:after="60"/>
      </w:pPr>
      <w:r>
        <w:rPr>
          <w:color w:val="262626"/>
          <w:sz w:val="21"/>
        </w:rPr>
        <w:t xml:space="preserve">Results are saved to </w:t>
      </w:r>
      <w:r>
        <w:rPr>
          <w:rFonts w:ascii="Courier New" w:hAnsi="Courier New"/>
          <w:color w:val="1F3964"/>
          <w:sz w:val="19"/>
        </w:rPr>
        <w:t>./data/evaluation_results.json</w:t>
      </w:r>
      <w:r>
        <w:rPr>
          <w:color w:val="262626"/>
          <w:sz w:val="21"/>
        </w:rPr>
        <w:t xml:space="preserve"> after running the evaluation script.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Architecture Decision Records (ADRs)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ADR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ADR-001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Hierarchical chunking (512 chars, 64 overlap)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Section-title preservation for precise citations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ADR-002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BAAI/bge-small-en-v1.5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Best small model for retrieval; local HF; 384-dim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ADR-003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ChromaDB PersistentClient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Zero-infrastructure; cosine similarity; metadata filtering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ADR-004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cross-encoder/ms-marco-MiniLM-L-6-v2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High precision; MS MARCO retrieval training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Trust Architecture</w:t>
      </w:r>
    </w:p>
    <w:p>
      <w:pPr>
        <w:spacing w:before="20" w:after="60"/>
      </w:pPr>
      <w:r>
        <w:rPr>
          <w:color w:val="262626"/>
          <w:sz w:val="21"/>
        </w:rPr>
        <w:t xml:space="preserve">Every answer is tagged </w:t>
      </w:r>
      <w:r>
        <w:rPr>
          <w:b/>
          <w:color w:val="262626"/>
          <w:sz w:val="21"/>
        </w:rPr>
        <w:t>AI-Recommend / Human-Approve</w:t>
      </w:r>
      <w:r>
        <w:rPr>
          <w:color w:val="262626"/>
          <w:sz w:val="21"/>
        </w:rPr>
        <w:t>. See [Trust Boundary Canvas](docs/Trust_Boundary_Canvas.md) for the full capability map.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Escalation is automatically triggered for: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Low-confidence responses (reranker score &lt; 0.50)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Jurisdiction-specific queries (state law, EU/GDPR, etc.)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Policy boundary questions (ambiguity between two policies)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Failure Mode Register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See [Failure_Mode_Register.md](docs/Failure_Mode_Register.md) for 8 failure modes including: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Row 1 (CRITICAL): Regulatory Misstatement — RPN 120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Row 3: Outdated Policy Info — RPN 120</w:t>
      </w:r>
    </w:p>
    <w:p>
      <w:pPr>
        <w:pStyle w:val="ListBullet"/>
        <w:spacing w:before="20" w:after="20"/>
        <w:ind w:left="288"/>
      </w:pPr>
      <w:r>
        <w:rPr>
          <w:color w:val="262626"/>
          <w:sz w:val="21"/>
        </w:rPr>
        <w:t>Row 4: Out-of-Corpus Query — RPN 112</w:t>
      </w: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Domain Model (DDD)</w:t>
      </w:r>
    </w:p>
    <w:p>
      <w:pPr>
        <w:spacing w:before="20" w:after="60"/>
      </w:pPr>
      <w:r>
        <w:rPr>
          <w:b w:val="0"/>
          <w:i w:val="0"/>
          <w:color w:val="262626"/>
          <w:sz w:val="21"/>
        </w:rPr>
        <w:t>Three bounded contexts with clear interfaces: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Context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Aggregate Root</w:t>
            </w:r>
          </w:p>
        </w:tc>
        <w:tc>
          <w:tcPr>
            <w:tcW w:type="dxa" w:w="3213"/>
            <w:shd w:val="clear" w:color="auto" w:fill="1F396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Entities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Policy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PolicyDocument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DocumentChunk</w:t>
            </w:r>
          </w:p>
        </w:tc>
      </w:tr>
      <w:tr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Audit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AuditReport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r>
              <w:rPr>
                <w:color w:val="262626"/>
                <w:sz w:val="19"/>
              </w:rPr>
              <w:t>AuditFinding</w:t>
            </w:r>
          </w:p>
        </w:tc>
      </w:tr>
      <w:tr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Regulation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RegulatoryBulletin</w:t>
            </w:r>
          </w:p>
        </w:tc>
        <w:tc>
          <w:tcPr>
            <w:tcW w:type="dxa" w:w="3213"/>
            <w:shd w:val="clear" w:color="auto" w:fill="D6E4F0"/>
            <w:vAlign w:val="center"/>
          </w:tcPr>
          <w:p>
            <w:r>
              <w:rPr>
                <w:color w:val="262626"/>
                <w:sz w:val="19"/>
              </w:rPr>
              <w:t>RegulatoryRequirement</w:t>
            </w:r>
          </w:p>
        </w:tc>
      </w:tr>
    </w:tbl>
    <w:p>
      <w:pPr>
        <w:spacing w:after="80"/>
      </w:pPr>
    </w:p>
    <w:p>
      <w:pPr>
        <w:pBdr>
          <w:bottom w:val="single" w:sz="6" w:space="1" w:color="1F3964"/>
        </w:pBdr>
        <w:spacing w:before="0" w:after="80"/>
      </w:pPr>
    </w:p>
    <w:p>
      <w:pPr>
        <w:spacing w:before="200" w:after="40"/>
      </w:pPr>
      <w:r>
        <w:rPr>
          <w:b/>
          <w:color w:val="2E75B6"/>
          <w:sz w:val="26"/>
        </w:rPr>
        <w:t>Compliance Disclaimer</w:t>
      </w:r>
    </w:p>
    <w:p>
      <w:pPr>
        <w:spacing w:before="20" w:after="60"/>
      </w:pPr>
      <w:r>
        <w:rPr>
          <w:color w:val="262626"/>
          <w:sz w:val="21"/>
        </w:rPr>
        <w:t xml:space="preserve">This system is a </w:t>
      </w:r>
      <w:r>
        <w:rPr>
          <w:b/>
          <w:color w:val="262626"/>
          <w:sz w:val="21"/>
        </w:rPr>
        <w:t>decision-support tool</w:t>
      </w:r>
      <w:r>
        <w:rPr>
          <w:color w:val="262626"/>
          <w:sz w:val="21"/>
        </w:rPr>
        <w:t xml:space="preserve"> for qualified compliance professionals. It does not constitute legal advice and must not be used as the sole basis for regulatory decisions. All AI-generated answers require human review before action. See the [Trust Boundary Canvas](docs/Trust_Boundary_Canvas.md) for the complete trust architecture.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