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566573"/>
          <w:sz w:val="18"/>
          <w:szCs w:val="18"/>
        </w:rPr>
        <w:t xml:space="preserve">POST-MORTEM  ·  2026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AI Hackathon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1A5276"/>
          <w:sz w:val="40"/>
          <w:szCs w:val="40"/>
        </w:rPr>
        <w:t xml:space="preserve">Lessons Learned</w:t>
      </w:r>
    </w:p>
    <w:p>
      <w:pPr>
        <w:pBdr>
          <w:bottom w:val="single" w:color="1A5276" w:sz="6" w:space="1"/>
        </w:pBdr>
        <w:spacing w:before="0" w:after="160"/>
      </w:pPr>
    </w:p>
    <w:p>
      <w:pPr>
        <w:spacing w:before="0" w:after="320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A structured review of 7 findings across agent orchestration, infrastructure, security, and UI — with root cause analysis and concrete next steps for each.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At a glance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Total findings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52"/>
                <w:szCs w:val="52"/>
              </w:rPr>
              <w:t xml:space="preserve">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Agent / SDK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52"/>
                <w:szCs w:val="52"/>
              </w:rPr>
              <w:t xml:space="preserve">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Security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52"/>
                <w:szCs w:val="52"/>
              </w:rPr>
              <w:t xml:space="preserve">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UI</w:t>
            </w:r>
          </w:p>
        </w:tc>
      </w:tr>
    </w:tbl>
    <w:p>
      <w:pPr>
        <w:spacing w:before="0" w:after="280"/>
      </w:pPr>
    </w:p>
    <w:tbl>
      <w:tblPr>
        <w:tblW w:type="dxa" w:w="9360"/>
        <w:tblBorders>
          <w:top w:val="single" w:color="CA6F1E" w:sz="4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Key patterns to address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Context blindness (findings 06 &amp; 07) — user identity and time context both absent. Solve together as a single request envelope concern.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Wired wrong (findings 02 &amp; 05) — Remote A2A and transport layer both connected using the wrong pattern. Compounding tech debt once more agents are added.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Upstream fragility (finding 01) — orchestrator hardening is highest leverage as it sits upstream of every other fix.</w:t>
            </w:r>
          </w:p>
        </w:tc>
      </w:tr>
    </w:tbl>
    <w:p>
      <w:pPr>
        <w:spacing w:before="0" w:after="320"/>
      </w:pP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Findings</w:t>
      </w:r>
    </w:p>
    <w:tbl>
      <w:tblPr>
        <w:tblW w:type="dxa" w:w="9360"/>
        <w:tblBorders>
          <w:top w:val="single" w:color="1A5276" w:sz="4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01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Orchestrator hardening &amp; intent classification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Issue</w:t>
            </w:r>
          </w:p>
        </w:tc>
        <w:tc>
          <w:tcPr>
            <w:tcW w:type="dxa" w:w="87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orchestrator was brittle against varied prompt shapes. Unexpected inputs caused undefined behaviour downstream, with no graceful fallback or intent disambiguation before routing to sub-agents.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 a robust intent classifier layer before routing to sub-agents. Add prompt normalisation, confidence scoring, and fallback handling for ambiguous or adversarial inputs.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High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1A5276" w:sz="4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02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Remote A2A incorrectly using local sub-agent pattern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Issue</w:t>
            </w:r>
          </w:p>
        </w:tc>
        <w:tc>
          <w:tcPr>
            <w:tcW w:type="dxa" w:w="87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Remote Agent-to-Agent (A2A) calls are currently wired as local sub-agent invocations, using the wrong transport layer and wrong lifecycle assumptions for distributed operation.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Refactor Remote A2A to use a proper network-aware transport with timeout, retry, and error surfacing suited to distributed agents. Decouple from the local in-process pattern.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High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1A5276" w:sz="4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03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No authN/authZ process for MCPs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Issue</w:t>
            </w:r>
          </w:p>
        </w:tc>
        <w:tc>
          <w:tcPr>
            <w:tcW w:type="dxa" w:w="87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MCP calls lacked authentication and authorisation gates, meaning any caller could invoke any tool without identity checks — a critical security gap for production deployment.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Define an authN/authZ framework for MCP endpoints including token-based identity, scoped permissions per tool, and audit logging for all invocations.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1A5276" w:sz="4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04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Streaming responses not rendered correctly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Issue</w:t>
            </w:r>
          </w:p>
        </w:tc>
        <w:tc>
          <w:tcPr>
            <w:tcW w:type="dxa" w:w="87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UI treated streamed output as a completed payload. Users experienced broken partial renders or delayed full-response flashes rather than progressive token-by-token display.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Implement SSE/chunk-aware rendering in the frontend — progressively append tokens, handle stream close events, and debounce re-renders to avoid layout thrashing.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Medium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1A5276" w:sz="4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05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Inconsistent connection issues — transport switch needed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Issue</w:t>
            </w:r>
          </w:p>
        </w:tc>
        <w:tc>
          <w:tcPr>
            <w:tcW w:type="dxa" w:w="87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Intermittent drops and connection instability surfaced under load. Root cause was traced to the current transport layer, with a replacement candidate already identified during the hackathon.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Evaluate and migrate to the identified replacement transport. Document the migration path, validate under simulated load, and establish a connection health monitoring baseline.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High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1A5276" w:sz="4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06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User context not propagated to MCPs via Smart SDK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Agent / SDK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Issue</w:t>
            </w:r>
          </w:p>
        </w:tc>
        <w:tc>
          <w:tcPr>
            <w:tcW w:type="dxa" w:w="87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limitation in the Smart SDK (ADK wrapper) prevented user context from flowing through to MCP tools, causing identity-blind calls and making personalisation impossible downstream.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 the Smart SDK to thread user context through the call chain, or introduce an explicit context injection step before MCP dispatch as a short-term workaround.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High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1A5276" w:sz="4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07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No time context provided to agents &amp; MCPs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Issue</w:t>
            </w:r>
          </w:p>
        </w:tc>
        <w:tc>
          <w:tcPr>
            <w:tcW w:type="dxa" w:w="87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Agents and MCPs had no awareness of the current date or time, leading to stale or irrelevant temporally-anchored responses — including showing outdated data without any caveat.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Inject current timestamp (UTC) into every agent system prompt and MCP request context. Standardise on UTC with locale as a secondary field. Make this part of the request envelope contract.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8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Medium</w:t>
            </w:r>
          </w:p>
        </w:tc>
      </w:tr>
    </w:tbl>
    <w:p>
      <w:pPr>
        <w:spacing w:before="0" w:after="20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566573"/>
        <w:sz w:val="16"/>
        <w:szCs w:val="16"/>
      </w:rPr>
      <w:t xml:space="preserve">Confidential — internal distribution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tabs>
        <w:tab w:val="right" w:pos="9360"/>
      </w:tabs>
      <w:spacing w:after="0"/>
    </w:pPr>
    <w:r>
      <w:rPr>
        <w:rFonts w:ascii="Arial" w:cs="Arial" w:eastAsia="Arial" w:hAnsi="Arial"/>
        <w:color w:val="566573"/>
        <w:sz w:val="18"/>
        <w:szCs w:val="18"/>
      </w:rPr>
      <w:t xml:space="preserve">AI Hackathon  ·  Lessons Learned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66573"/>
        <w:sz w:val="18"/>
        <w:szCs w:val="18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2026-03-23T03:55:00.610Z</dcterms:created>
  <dcterms:modified xsi:type="dcterms:W3CDTF">2026-03-23T03:55:00.611Z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