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pPr>
      <w:r>
        <w:rPr>
          <w:rFonts w:ascii="Arial" w:cs="Arial" w:eastAsia="Arial" w:hAnsi="Arial"/>
          <w:b/>
          <w:bCs/>
          <w:color w:val="4F46B8"/>
          <w:sz w:val="48"/>
          <w:szCs w:val="48"/>
        </w:rPr>
        <w:t xml:space="preserve">Role Description</w:t>
      </w:r>
    </w:p>
    <w:p>
      <w:pPr>
        <w:spacing w:before="0" w:after="80"/>
      </w:pPr>
      <w:r>
        <w:rPr>
          <w:rFonts w:ascii="Arial" w:cs="Arial" w:eastAsia="Arial" w:hAnsi="Arial"/>
          <w:b/>
          <w:bCs/>
          <w:color w:val="222222"/>
          <w:sz w:val="36"/>
          <w:szCs w:val="36"/>
        </w:rPr>
        <w:t xml:space="preserve">AI Strategy &amp; Solution Enablement Lead</w:t>
      </w:r>
    </w:p>
    <w:p>
      <w:pPr>
        <w:spacing w:before="0" w:after="200"/>
      </w:pPr>
      <w:r>
        <w:rPr>
          <w:rFonts w:ascii="Arial" w:cs="Arial" w:eastAsia="Arial" w:hAnsi="Arial"/>
          <w:color w:val="666666"/>
          <w:sz w:val="22"/>
          <w:szCs w:val="22"/>
        </w:rPr>
        <w:t xml:space="preserve">Commercial Banking Technology  |  Leading Bank</w:t>
      </w:r>
    </w:p>
    <w:p>
      <w:pPr>
        <w:pBdr>
          <w:bottom w:val="single" w:color="4F46B8" w:sz="4" w:space="1"/>
        </w:pBdr>
        <w:spacing w:before="0" w:after="160"/>
      </w:pPr>
      <w:r>
        <w:t xml:space="preserve"/>
      </w:r>
    </w:p>
    <w:p>
      <w:pPr>
        <w:spacing w:before="320" w:after="80"/>
      </w:pPr>
      <w:r>
        <w:rPr>
          <w:rFonts w:ascii="Arial" w:cs="Arial" w:eastAsia="Arial" w:hAnsi="Arial"/>
          <w:b/>
          <w:bCs/>
          <w:color w:val="4F46B8"/>
          <w:sz w:val="32"/>
          <w:szCs w:val="32"/>
        </w:rPr>
        <w:t xml:space="preserve">Role Purpose</w:t>
      </w:r>
    </w:p>
    <w:p>
      <w:pPr>
        <w:spacing w:before="60" w:after="60"/>
      </w:pPr>
      <w:r>
        <w:rPr>
          <w:rFonts w:ascii="Arial" w:cs="Arial" w:eastAsia="Arial" w:hAnsi="Arial"/>
          <w:sz w:val="22"/>
          <w:szCs w:val="22"/>
        </w:rPr>
        <w:t xml:space="preserve">This role owns the AI demand strategy, solution architecture, and user experience layer across Commercial Banking Technology. It serves as the bridge between business and product stakeholders and the AI platform — translating complex business problems into AI-enabled solutions, shaping the end-to-end agent and orchestration design, and ensuring teams are equipped and aligned to deliver high-impact AI capabilities.</w:t>
      </w:r>
    </w:p>
    <w:p>
      <w:pPr>
        <w:spacing w:before="100" w:after="0"/>
      </w:pPr>
      <w:r>
        <w:t xml:space="preserve"/>
      </w:r>
    </w:p>
    <w:p>
      <w:pPr>
        <w:spacing w:before="320" w:after="80"/>
      </w:pPr>
      <w:r>
        <w:rPr>
          <w:rFonts w:ascii="Arial" w:cs="Arial" w:eastAsia="Arial" w:hAnsi="Arial"/>
          <w:b/>
          <w:bCs/>
          <w:color w:val="4F46B8"/>
          <w:sz w:val="32"/>
          <w:szCs w:val="32"/>
        </w:rPr>
        <w:t xml:space="preserve">Positioning &amp; Differentiation</w:t>
      </w:r>
    </w:p>
    <w:p>
      <w:pPr>
        <w:spacing w:before="60" w:after="60"/>
      </w:pPr>
      <w:r>
        <w:rPr>
          <w:rFonts w:ascii="Arial" w:cs="Arial" w:eastAsia="Arial" w:hAnsi="Arial"/>
          <w:sz w:val="22"/>
          <w:szCs w:val="22"/>
        </w:rPr>
        <w:t xml:space="preserve">This role is distinct from the AI Platform Head, who owns infrastructure, model hosting, LLMOps, and platform reliability. The distinction is: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4F46B8" w:val="clear"/>
            <w:tcMar>
              <w:top w:type="dxa" w:w="120"/>
              <w:left w:type="dxa" w:w="160"/>
              <w:bottom w:type="dxa" w:w="120"/>
              <w:right w:type="dxa" w:w="160"/>
            </w:tcMar>
          </w:tcPr>
          <w:p>
            <w:r>
              <w:rPr>
                <w:rFonts w:ascii="Arial" w:cs="Arial" w:eastAsia="Arial" w:hAnsi="Arial"/>
                <w:b/>
                <w:bCs/>
                <w:color w:val="FFFFFF"/>
                <w:sz w:val="22"/>
                <w:szCs w:val="22"/>
              </w:rPr>
              <w:t xml:space="preserve">This Role</w:t>
            </w:r>
          </w:p>
        </w:tc>
        <w:tc>
          <w:tcPr>
            <w:tcW w:type="dxa" w:w="3360"/>
            <w:tcBorders>
              <w:top w:val="none" w:color="FFFFFF" w:sz="0"/>
              <w:left w:val="none" w:color="FFFFFF" w:sz="0"/>
              <w:bottom w:val="none" w:color="FFFFFF" w:sz="0"/>
              <w:right w:val="none" w:color="FFFFFF" w:sz="0"/>
            </w:tcBorders>
            <w:shd w:fill="888888" w:val="clear"/>
            <w:tcMar>
              <w:top w:type="dxa" w:w="120"/>
              <w:left w:type="dxa" w:w="160"/>
              <w:bottom w:type="dxa" w:w="120"/>
              <w:right w:type="dxa" w:w="160"/>
            </w:tcMar>
          </w:tcPr>
          <w:p>
            <w:r>
              <w:rPr>
                <w:rFonts w:ascii="Arial" w:cs="Arial" w:eastAsia="Arial" w:hAnsi="Arial"/>
                <w:b/>
                <w:bCs/>
                <w:color w:val="FFFFFF"/>
                <w:sz w:val="22"/>
                <w:szCs w:val="22"/>
              </w:rPr>
              <w:t xml:space="preserve">Collaboration Zone</w:t>
            </w:r>
          </w:p>
        </w:tc>
        <w:tc>
          <w:tcPr>
            <w:tcW w:type="dxa" w:w="3360"/>
            <w:tcBorders>
              <w:top w:val="none" w:color="FFFFFF" w:sz="0"/>
              <w:left w:val="none" w:color="FFFFFF" w:sz="0"/>
              <w:bottom w:val="none" w:color="FFFFFF" w:sz="0"/>
              <w:right w:val="none" w:color="FFFFFF" w:sz="0"/>
            </w:tcBorders>
            <w:shd w:fill="993C1D" w:val="clear"/>
            <w:tcMar>
              <w:top w:type="dxa" w:w="120"/>
              <w:left w:type="dxa" w:w="160"/>
              <w:bottom w:type="dxa" w:w="120"/>
              <w:right w:type="dxa" w:w="160"/>
            </w:tcMar>
          </w:tcPr>
          <w:p>
            <w:r>
              <w:rPr>
                <w:rFonts w:ascii="Arial" w:cs="Arial" w:eastAsia="Arial" w:hAnsi="Arial"/>
                <w:b/>
                <w:bCs/>
                <w:color w:val="FFFFFF"/>
                <w:sz w:val="22"/>
                <w:szCs w:val="22"/>
              </w:rPr>
              <w:t xml:space="preserve">AI Platform Head</w:t>
            </w:r>
          </w:p>
        </w:tc>
      </w:tr>
      <w:tr>
        <w:tc>
          <w:tcPr>
            <w:tcW w:type="dxa" w:w="336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color w:val="3C3489"/>
                <w:sz w:val="21"/>
                <w:szCs w:val="21"/>
              </w:rPr>
              <w:t xml:space="preserve">AI demand &amp; strategy</w:t>
            </w:r>
          </w:p>
        </w:tc>
        <w:tc>
          <w:tcPr>
            <w:tcW w:type="dxa" w:w="3360"/>
            <w:tcBorders>
              <w:top w:val="none" w:color="FFFFFF" w:sz="0"/>
              <w:left w:val="none" w:color="FFFFFF" w:sz="0"/>
              <w:bottom w:val="single" w:color="DDDDDD" w:sz="1"/>
              <w:right w:val="none" w:color="FFFFFF" w:sz="0"/>
            </w:tcBorders>
            <w:shd w:fill="F5F5F5" w:val="clear"/>
            <w:tcMar>
              <w:top w:type="dxa" w:w="100"/>
              <w:left w:type="dxa" w:w="160"/>
              <w:bottom w:type="dxa" w:w="100"/>
              <w:right w:type="dxa" w:w="160"/>
            </w:tcMar>
          </w:tcPr>
          <w:p>
            <w:r>
              <w:rPr>
                <w:rFonts w:ascii="Arial" w:cs="Arial" w:eastAsia="Arial" w:hAnsi="Arial"/>
                <w:color w:val="333333"/>
                <w:sz w:val="21"/>
                <w:szCs w:val="21"/>
              </w:rPr>
              <w:t xml:space="preserve">Delivery timing</w:t>
            </w:r>
          </w:p>
        </w:tc>
        <w:tc>
          <w:tcPr>
            <w:tcW w:type="dxa" w:w="3360"/>
            <w:tcBorders>
              <w:top w:val="none" w:color="FFFFFF" w:sz="0"/>
              <w:left w:val="none" w:color="FFFFFF" w:sz="0"/>
              <w:bottom w:val="single" w:color="DDDDDD" w:sz="1"/>
              <w:right w:val="none" w:color="FFFFFF" w:sz="0"/>
            </w:tcBorders>
            <w:shd w:fill="FAECE7" w:val="clear"/>
            <w:tcMar>
              <w:top w:type="dxa" w:w="100"/>
              <w:left w:type="dxa" w:w="160"/>
              <w:bottom w:type="dxa" w:w="100"/>
              <w:right w:type="dxa" w:w="160"/>
            </w:tcMar>
          </w:tcPr>
          <w:p>
            <w:r>
              <w:rPr>
                <w:rFonts w:ascii="Arial" w:cs="Arial" w:eastAsia="Arial" w:hAnsi="Arial"/>
                <w:color w:val="993C1D"/>
                <w:sz w:val="21"/>
                <w:szCs w:val="21"/>
              </w:rPr>
              <w:t xml:space="preserve">AI supply &amp; infrastructure</w:t>
            </w:r>
          </w:p>
        </w:tc>
      </w:tr>
      <w:tr>
        <w:tc>
          <w:tcPr>
            <w:tcW w:type="dxa" w:w="336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color w:val="3C3489"/>
                <w:sz w:val="21"/>
                <w:szCs w:val="21"/>
              </w:rPr>
              <w:t xml:space="preserve">Use case ownership</w:t>
            </w:r>
          </w:p>
        </w:tc>
        <w:tc>
          <w:tcPr>
            <w:tcW w:type="dxa" w:w="3360"/>
            <w:tcBorders>
              <w:top w:val="none" w:color="FFFFFF" w:sz="0"/>
              <w:left w:val="none" w:color="FFFFFF" w:sz="0"/>
              <w:bottom w:val="single" w:color="DDDDDD" w:sz="1"/>
              <w:right w:val="none" w:color="FFFFFF" w:sz="0"/>
            </w:tcBorders>
            <w:shd w:fill="F5F5F5" w:val="clear"/>
            <w:tcMar>
              <w:top w:type="dxa" w:w="100"/>
              <w:left w:type="dxa" w:w="160"/>
              <w:bottom w:type="dxa" w:w="100"/>
              <w:right w:type="dxa" w:w="160"/>
            </w:tcMar>
          </w:tcPr>
          <w:p>
            <w:r>
              <w:rPr>
                <w:rFonts w:ascii="Arial" w:cs="Arial" w:eastAsia="Arial" w:hAnsi="Arial"/>
                <w:color w:val="333333"/>
                <w:sz w:val="21"/>
                <w:szCs w:val="21"/>
              </w:rPr>
              <w:t xml:space="preserve">Tool availability planning</w:t>
            </w:r>
          </w:p>
        </w:tc>
        <w:tc>
          <w:tcPr>
            <w:tcW w:type="dxa" w:w="3360"/>
            <w:tcBorders>
              <w:top w:val="none" w:color="FFFFFF" w:sz="0"/>
              <w:left w:val="none" w:color="FFFFFF" w:sz="0"/>
              <w:bottom w:val="single" w:color="DDDDDD" w:sz="1"/>
              <w:right w:val="none" w:color="FFFFFF" w:sz="0"/>
            </w:tcBorders>
            <w:shd w:fill="FAECE7" w:val="clear"/>
            <w:tcMar>
              <w:top w:type="dxa" w:w="100"/>
              <w:left w:type="dxa" w:w="160"/>
              <w:bottom w:type="dxa" w:w="100"/>
              <w:right w:type="dxa" w:w="160"/>
            </w:tcMar>
          </w:tcPr>
          <w:p>
            <w:r>
              <w:rPr>
                <w:rFonts w:ascii="Arial" w:cs="Arial" w:eastAsia="Arial" w:hAnsi="Arial"/>
                <w:color w:val="993C1D"/>
                <w:sz w:val="21"/>
                <w:szCs w:val="21"/>
              </w:rPr>
              <w:t xml:space="preserve">Model hosting &amp; LLMOps</w:t>
            </w:r>
          </w:p>
        </w:tc>
      </w:tr>
      <w:tr>
        <w:tc>
          <w:tcPr>
            <w:tcW w:type="dxa" w:w="336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color w:val="3C3489"/>
                <w:sz w:val="21"/>
                <w:szCs w:val="21"/>
              </w:rPr>
              <w:t xml:space="preserve">Agent &amp; solution design</w:t>
            </w:r>
          </w:p>
        </w:tc>
        <w:tc>
          <w:tcPr>
            <w:tcW w:type="dxa" w:w="3360"/>
            <w:tcBorders>
              <w:top w:val="none" w:color="FFFFFF" w:sz="0"/>
              <w:left w:val="none" w:color="FFFFFF" w:sz="0"/>
              <w:bottom w:val="single" w:color="DDDDDD" w:sz="1"/>
              <w:right w:val="none" w:color="FFFFFF" w:sz="0"/>
            </w:tcBorders>
            <w:shd w:fill="F5F5F5" w:val="clear"/>
            <w:tcMar>
              <w:top w:type="dxa" w:w="100"/>
              <w:left w:type="dxa" w:w="160"/>
              <w:bottom w:type="dxa" w:w="100"/>
              <w:right w:type="dxa" w:w="160"/>
            </w:tcMar>
          </w:tcPr>
          <w:p>
            <w:r>
              <w:rPr>
                <w:rFonts w:ascii="Arial" w:cs="Arial" w:eastAsia="Arial" w:hAnsi="Arial"/>
                <w:color w:val="333333"/>
                <w:sz w:val="21"/>
                <w:szCs w:val="21"/>
              </w:rPr>
              <w:t xml:space="preserve">AI metrics &amp; reporting</w:t>
            </w:r>
          </w:p>
        </w:tc>
        <w:tc>
          <w:tcPr>
            <w:tcW w:type="dxa" w:w="3360"/>
            <w:tcBorders>
              <w:top w:val="none" w:color="FFFFFF" w:sz="0"/>
              <w:left w:val="none" w:color="FFFFFF" w:sz="0"/>
              <w:bottom w:val="single" w:color="DDDDDD" w:sz="1"/>
              <w:right w:val="none" w:color="FFFFFF" w:sz="0"/>
            </w:tcBorders>
            <w:shd w:fill="FAECE7" w:val="clear"/>
            <w:tcMar>
              <w:top w:type="dxa" w:w="100"/>
              <w:left w:type="dxa" w:w="160"/>
              <w:bottom w:type="dxa" w:w="100"/>
              <w:right w:type="dxa" w:w="160"/>
            </w:tcMar>
          </w:tcPr>
          <w:p>
            <w:r>
              <w:rPr>
                <w:rFonts w:ascii="Arial" w:cs="Arial" w:eastAsia="Arial" w:hAnsi="Arial"/>
                <w:color w:val="993C1D"/>
                <w:sz w:val="21"/>
                <w:szCs w:val="21"/>
              </w:rPr>
              <w:t xml:space="preserve">Compute &amp; API management</w:t>
            </w:r>
          </w:p>
        </w:tc>
      </w:tr>
      <w:tr>
        <w:tc>
          <w:tcPr>
            <w:tcW w:type="dxa" w:w="336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color w:val="3C3489"/>
                <w:sz w:val="21"/>
                <w:szCs w:val="21"/>
              </w:rPr>
              <w:t xml:space="preserve">Chat UI &amp; UX strategy</w:t>
            </w:r>
          </w:p>
        </w:tc>
        <w:tc>
          <w:tcPr>
            <w:tcW w:type="dxa" w:w="3360"/>
            <w:tcBorders>
              <w:top w:val="none" w:color="FFFFFF" w:sz="0"/>
              <w:left w:val="none" w:color="FFFFFF" w:sz="0"/>
              <w:bottom w:val="single" w:color="DDDDDD" w:sz="1"/>
              <w:right w:val="none" w:color="FFFFFF" w:sz="0"/>
            </w:tcBorders>
            <w:shd w:fill="F5F5F5" w:val="clear"/>
            <w:tcMar>
              <w:top w:type="dxa" w:w="100"/>
              <w:left w:type="dxa" w:w="160"/>
              <w:bottom w:type="dxa" w:w="100"/>
              <w:right w:type="dxa" w:w="160"/>
            </w:tcMar>
          </w:tcPr>
          <w:p>
            <w:r>
              <w:rPr>
                <w:rFonts w:ascii="Arial" w:cs="Arial" w:eastAsia="Arial" w:hAnsi="Arial"/>
                <w:color w:val="333333"/>
                <w:sz w:val="21"/>
                <w:szCs w:val="21"/>
              </w:rPr>
              <w:t xml:space="preserve">Multi-lead coordination</w:t>
            </w:r>
          </w:p>
        </w:tc>
        <w:tc>
          <w:tcPr>
            <w:tcW w:type="dxa" w:w="3360"/>
            <w:tcBorders>
              <w:top w:val="none" w:color="FFFFFF" w:sz="0"/>
              <w:left w:val="none" w:color="FFFFFF" w:sz="0"/>
              <w:bottom w:val="single" w:color="DDDDDD" w:sz="1"/>
              <w:right w:val="none" w:color="FFFFFF" w:sz="0"/>
            </w:tcBorders>
            <w:shd w:fill="FAECE7" w:val="clear"/>
            <w:tcMar>
              <w:top w:type="dxa" w:w="100"/>
              <w:left w:type="dxa" w:w="160"/>
              <w:bottom w:type="dxa" w:w="100"/>
              <w:right w:type="dxa" w:w="160"/>
            </w:tcMar>
          </w:tcPr>
          <w:p>
            <w:r>
              <w:rPr>
                <w:rFonts w:ascii="Arial" w:cs="Arial" w:eastAsia="Arial" w:hAnsi="Arial"/>
                <w:color w:val="993C1D"/>
                <w:sz w:val="21"/>
                <w:szCs w:val="21"/>
              </w:rPr>
              <w:t xml:space="preserve">Platform reliability &amp; SLAs</w:t>
            </w:r>
          </w:p>
        </w:tc>
      </w:tr>
      <w:tr>
        <w:tc>
          <w:tcPr>
            <w:tcW w:type="dxa" w:w="336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color w:val="3C3489"/>
                <w:sz w:val="21"/>
                <w:szCs w:val="21"/>
              </w:rPr>
              <w:t xml:space="preserve">Team enablement &amp; training</w:t>
            </w:r>
          </w:p>
        </w:tc>
        <w:tc>
          <w:tcPr>
            <w:tcW w:type="dxa" w:w="3360"/>
            <w:tcBorders>
              <w:top w:val="none" w:color="FFFFFF" w:sz="0"/>
              <w:left w:val="none" w:color="FFFFFF" w:sz="0"/>
              <w:bottom w:val="single" w:color="DDDDDD" w:sz="1"/>
              <w:right w:val="none" w:color="FFFFFF" w:sz="0"/>
            </w:tcBorders>
            <w:shd w:fill="F5F5F5" w:val="clear"/>
            <w:tcMar>
              <w:top w:type="dxa" w:w="100"/>
              <w:left w:type="dxa" w:w="160"/>
              <w:bottom w:type="dxa" w:w="100"/>
              <w:right w:type="dxa" w:w="160"/>
            </w:tcMar>
          </w:tcPr>
          <w:p>
            <w:r>
              <w:rPr>
                <w:rFonts w:ascii="Arial" w:cs="Arial" w:eastAsia="Arial" w:hAnsi="Arial"/>
                <w:color w:val="333333"/>
                <w:sz w:val="21"/>
                <w:szCs w:val="21"/>
              </w:rPr>
              <w:t xml:space="preserve"/>
            </w:r>
          </w:p>
        </w:tc>
        <w:tc>
          <w:tcPr>
            <w:tcW w:type="dxa" w:w="3360"/>
            <w:tcBorders>
              <w:top w:val="none" w:color="FFFFFF" w:sz="0"/>
              <w:left w:val="none" w:color="FFFFFF" w:sz="0"/>
              <w:bottom w:val="single" w:color="DDDDDD" w:sz="1"/>
              <w:right w:val="none" w:color="FFFFFF" w:sz="0"/>
            </w:tcBorders>
            <w:shd w:fill="FAECE7" w:val="clear"/>
            <w:tcMar>
              <w:top w:type="dxa" w:w="100"/>
              <w:left w:type="dxa" w:w="160"/>
              <w:bottom w:type="dxa" w:w="100"/>
              <w:right w:type="dxa" w:w="160"/>
            </w:tcMar>
          </w:tcPr>
          <w:p>
            <w:r>
              <w:rPr>
                <w:rFonts w:ascii="Arial" w:cs="Arial" w:eastAsia="Arial" w:hAnsi="Arial"/>
                <w:color w:val="993C1D"/>
                <w:sz w:val="21"/>
                <w:szCs w:val="21"/>
              </w:rPr>
              <w:t xml:space="preserve">Security &amp; governance</w:t>
            </w:r>
          </w:p>
        </w:tc>
      </w:tr>
    </w:tbl>
    <w:p>
      <w:pPr>
        <w:spacing w:before="160" w:after="0"/>
      </w:pPr>
      <w:r>
        <w:t xml:space="preserve"/>
      </w:r>
    </w:p>
    <w:p>
      <w:pPr>
        <w:spacing w:before="320" w:after="80"/>
      </w:pPr>
      <w:r>
        <w:rPr>
          <w:rFonts w:ascii="Arial" w:cs="Arial" w:eastAsia="Arial" w:hAnsi="Arial"/>
          <w:b/>
          <w:bCs/>
          <w:color w:val="4F46B8"/>
          <w:sz w:val="32"/>
          <w:szCs w:val="32"/>
        </w:rPr>
        <w:t xml:space="preserve">Core Responsibility Areas</w:t>
      </w:r>
    </w:p>
    <w:p>
      <w:pPr>
        <w:spacing w:before="240" w:after="80"/>
      </w:pPr>
      <w:r>
        <w:rPr>
          <w:rFonts w:ascii="Arial" w:cs="Arial" w:eastAsia="Arial" w:hAnsi="Arial"/>
          <w:b/>
          <w:bCs/>
          <w:color w:val="4F46B8"/>
          <w:sz w:val="24"/>
          <w:szCs w:val="24"/>
        </w:rPr>
        <w:t xml:space="preserve">1. AI Strategy &amp; Demand</w:t>
      </w:r>
    </w:p>
    <w:p>
      <w:pPr>
        <w:pBdr>
          <w:bottom w:val="single" w:color="4F46B8" w:sz="4" w:space="1"/>
        </w:pBdr>
        <w:spacing w:before="0" w:after="160"/>
      </w:pPr>
      <w:r>
        <w:t xml:space="preserve"/>
      </w:r>
    </w:p>
    <w:p>
      <w:pPr>
        <w:pStyle w:val="ListParagraph"/>
        <w:numPr>
          <w:ilvl w:val="0"/>
          <w:numId w:val="2"/>
        </w:numPr>
        <w:spacing w:before="40" w:after="40"/>
      </w:pPr>
      <w:r>
        <w:rPr>
          <w:rFonts w:ascii="Arial" w:cs="Arial" w:eastAsia="Arial" w:hAnsi="Arial"/>
          <w:sz w:val="22"/>
          <w:szCs w:val="22"/>
        </w:rPr>
        <w:t xml:space="preserve">Own and manage the AI use case backlog across Commercial Banking Technology, prioritizing based on business value and feasibility.</w:t>
      </w:r>
    </w:p>
    <w:p>
      <w:pPr>
        <w:pStyle w:val="ListParagraph"/>
        <w:numPr>
          <w:ilvl w:val="0"/>
          <w:numId w:val="2"/>
        </w:numPr>
        <w:spacing w:before="40" w:after="40"/>
      </w:pPr>
      <w:r>
        <w:rPr>
          <w:rFonts w:ascii="Arial" w:cs="Arial" w:eastAsia="Arial" w:hAnsi="Arial"/>
          <w:sz w:val="22"/>
          <w:szCs w:val="22"/>
        </w:rPr>
        <w:t xml:space="preserve">Work with product and business stakeholders to translate domain problems into AI-solvable solutions.</w:t>
      </w:r>
    </w:p>
    <w:p>
      <w:pPr>
        <w:pStyle w:val="ListParagraph"/>
        <w:numPr>
          <w:ilvl w:val="0"/>
          <w:numId w:val="2"/>
        </w:numPr>
        <w:spacing w:before="40" w:after="40"/>
      </w:pPr>
      <w:r>
        <w:rPr>
          <w:rFonts w:ascii="Arial" w:cs="Arial" w:eastAsia="Arial" w:hAnsi="Arial"/>
          <w:sz w:val="22"/>
          <w:szCs w:val="22"/>
        </w:rPr>
        <w:t xml:space="preserve">Define the right AI pattern for each use case — agentic orchestration, RAG, MCP, or lighter-weight approaches — based on complexity and need.</w:t>
      </w:r>
    </w:p>
    <w:p>
      <w:pPr>
        <w:pStyle w:val="ListParagraph"/>
        <w:numPr>
          <w:ilvl w:val="0"/>
          <w:numId w:val="2"/>
        </w:numPr>
        <w:spacing w:before="40" w:after="40"/>
      </w:pPr>
      <w:r>
        <w:rPr>
          <w:rFonts w:ascii="Arial" w:cs="Arial" w:eastAsia="Arial" w:hAnsi="Arial"/>
          <w:sz w:val="22"/>
          <w:szCs w:val="22"/>
        </w:rPr>
        <w:t xml:space="preserve">Develop and maintain the target state AI architecture for the division, ensuring each initiative contributes to a coherent long-term vision.</w:t>
      </w:r>
    </w:p>
    <w:p>
      <w:pPr>
        <w:pStyle w:val="ListParagraph"/>
        <w:numPr>
          <w:ilvl w:val="0"/>
          <w:numId w:val="2"/>
        </w:numPr>
        <w:spacing w:before="40" w:after="40"/>
      </w:pPr>
      <w:r>
        <w:rPr>
          <w:rFonts w:ascii="Arial" w:cs="Arial" w:eastAsia="Arial" w:hAnsi="Arial"/>
          <w:sz w:val="22"/>
          <w:szCs w:val="22"/>
        </w:rPr>
        <w:t xml:space="preserve">Track AI market trends and translate emerging capabilities (new models, tooling, techniques) into roadmap recommendations and team readiness actions.</w:t>
      </w:r>
    </w:p>
    <w:p>
      <w:pPr>
        <w:pStyle w:val="ListParagraph"/>
        <w:numPr>
          <w:ilvl w:val="0"/>
          <w:numId w:val="2"/>
        </w:numPr>
        <w:spacing w:before="40" w:after="40"/>
      </w:pPr>
      <w:r>
        <w:rPr>
          <w:rFonts w:ascii="Arial" w:cs="Arial" w:eastAsia="Arial" w:hAnsi="Arial"/>
          <w:sz w:val="22"/>
          <w:szCs w:val="22"/>
        </w:rPr>
        <w:t xml:space="preserve">Time delivery sequencing based on internal tool and data platform availability, preventing teams from building on unstable foundations.</w:t>
      </w:r>
    </w:p>
    <w:p>
      <w:pPr>
        <w:spacing w:before="100" w:after="0"/>
      </w:pPr>
      <w:r>
        <w:t xml:space="preserve"/>
      </w:r>
    </w:p>
    <w:p>
      <w:pPr>
        <w:spacing w:before="240" w:after="80"/>
      </w:pPr>
      <w:r>
        <w:rPr>
          <w:rFonts w:ascii="Arial" w:cs="Arial" w:eastAsia="Arial" w:hAnsi="Arial"/>
          <w:b/>
          <w:bCs/>
          <w:color w:val="0F6E56"/>
          <w:sz w:val="24"/>
          <w:szCs w:val="24"/>
        </w:rPr>
        <w:t xml:space="preserve">2. AI Enablement &amp; Developer Productivity</w:t>
      </w:r>
    </w:p>
    <w:p>
      <w:pPr>
        <w:pBdr>
          <w:bottom w:val="single" w:color="0F6E56" w:sz="4" w:space="1"/>
        </w:pBdr>
        <w:spacing w:before="0" w:after="160"/>
      </w:pPr>
      <w:r>
        <w:t xml:space="preserve"/>
      </w:r>
    </w:p>
    <w:p>
      <w:pPr>
        <w:pStyle w:val="ListParagraph"/>
        <w:numPr>
          <w:ilvl w:val="0"/>
          <w:numId w:val="2"/>
        </w:numPr>
        <w:spacing w:before="40" w:after="40"/>
      </w:pPr>
      <w:r>
        <w:rPr>
          <w:rFonts w:ascii="Arial" w:cs="Arial" w:eastAsia="Arial" w:hAnsi="Arial"/>
          <w:sz w:val="22"/>
          <w:szCs w:val="22"/>
        </w:rPr>
        <w:t xml:space="preserve">Own AI developer productivity metrics and continuously improve outcomes through AI-assisted tooling.</w:t>
      </w:r>
    </w:p>
    <w:p>
      <w:pPr>
        <w:pStyle w:val="ListParagraph"/>
        <w:numPr>
          <w:ilvl w:val="0"/>
          <w:numId w:val="2"/>
        </w:numPr>
        <w:spacing w:before="40" w:after="40"/>
      </w:pPr>
      <w:r>
        <w:rPr>
          <w:rFonts w:ascii="Arial" w:cs="Arial" w:eastAsia="Arial" w:hAnsi="Arial"/>
          <w:sz w:val="22"/>
          <w:szCs w:val="22"/>
        </w:rPr>
        <w:t xml:space="preserve">Deliver structured training programs on AI tools and emerging technologies to engineering teams.</w:t>
      </w:r>
    </w:p>
    <w:p>
      <w:pPr>
        <w:pStyle w:val="ListParagraph"/>
        <w:numPr>
          <w:ilvl w:val="0"/>
          <w:numId w:val="2"/>
        </w:numPr>
        <w:spacing w:before="40" w:after="40"/>
      </w:pPr>
      <w:r>
        <w:rPr>
          <w:rFonts w:ascii="Arial" w:cs="Arial" w:eastAsia="Arial" w:hAnsi="Arial"/>
          <w:sz w:val="22"/>
          <w:szCs w:val="22"/>
        </w:rPr>
        <w:t xml:space="preserve">Conduct Proof of Concepts (POCs) on new AI technologies and challenging technical problems to de-risk adoption.</w:t>
      </w:r>
    </w:p>
    <w:p>
      <w:pPr>
        <w:pStyle w:val="ListParagraph"/>
        <w:numPr>
          <w:ilvl w:val="0"/>
          <w:numId w:val="2"/>
        </w:numPr>
        <w:spacing w:before="40" w:after="40"/>
      </w:pPr>
      <w:r>
        <w:rPr>
          <w:rFonts w:ascii="Arial" w:cs="Arial" w:eastAsia="Arial" w:hAnsi="Arial"/>
          <w:sz w:val="22"/>
          <w:szCs w:val="22"/>
        </w:rPr>
        <w:t xml:space="preserve">Act as the connective tissue across multiple domain leads — ensuring architectural coherence, avoiding duplication, and aligning use cases to the broader AI strategy.</w:t>
      </w:r>
    </w:p>
    <w:p>
      <w:pPr>
        <w:pStyle w:val="ListParagraph"/>
        <w:numPr>
          <w:ilvl w:val="0"/>
          <w:numId w:val="2"/>
        </w:numPr>
        <w:spacing w:before="40" w:after="40"/>
      </w:pPr>
      <w:r>
        <w:rPr>
          <w:rFonts w:ascii="Arial" w:cs="Arial" w:eastAsia="Arial" w:hAnsi="Arial"/>
          <w:sz w:val="22"/>
          <w:szCs w:val="22"/>
        </w:rPr>
        <w:t xml:space="preserve">Provide architectural guidance to teams on how to design and build AI features that meet target state principles.</w:t>
      </w:r>
    </w:p>
    <w:p>
      <w:pPr>
        <w:spacing w:before="100" w:after="0"/>
      </w:pPr>
      <w:r>
        <w:t xml:space="preserve"/>
      </w:r>
    </w:p>
    <w:p>
      <w:pPr>
        <w:spacing w:before="240" w:after="80"/>
      </w:pPr>
      <w:r>
        <w:rPr>
          <w:rFonts w:ascii="Arial" w:cs="Arial" w:eastAsia="Arial" w:hAnsi="Arial"/>
          <w:b/>
          <w:bCs/>
          <w:color w:val="854F0B"/>
          <w:sz w:val="24"/>
          <w:szCs w:val="24"/>
        </w:rPr>
        <w:t xml:space="preserve">3. AI Experience &amp; Chat UI Strategy</w:t>
      </w:r>
    </w:p>
    <w:p>
      <w:pPr>
        <w:pBdr>
          <w:bottom w:val="single" w:color="854F0B" w:sz="4" w:space="1"/>
        </w:pBdr>
        <w:spacing w:before="0" w:after="160"/>
      </w:pPr>
      <w:r>
        <w:t xml:space="preserve"/>
      </w:r>
    </w:p>
    <w:p>
      <w:pPr>
        <w:pStyle w:val="ListParagraph"/>
        <w:numPr>
          <w:ilvl w:val="0"/>
          <w:numId w:val="2"/>
        </w:numPr>
        <w:spacing w:before="40" w:after="40"/>
      </w:pPr>
      <w:r>
        <w:rPr>
          <w:rFonts w:ascii="Arial" w:cs="Arial" w:eastAsia="Arial" w:hAnsi="Arial"/>
          <w:sz w:val="22"/>
          <w:szCs w:val="22"/>
        </w:rPr>
        <w:t xml:space="preserve">Own the UI strategy for AI-powered chat interfaces across Commercial Banking Technology products.</w:t>
      </w:r>
    </w:p>
    <w:p>
      <w:pPr>
        <w:pStyle w:val="ListParagraph"/>
        <w:numPr>
          <w:ilvl w:val="0"/>
          <w:numId w:val="2"/>
        </w:numPr>
        <w:spacing w:before="40" w:after="40"/>
      </w:pPr>
      <w:r>
        <w:rPr>
          <w:rFonts w:ascii="Arial" w:cs="Arial" w:eastAsia="Arial" w:hAnsi="Arial"/>
          <w:sz w:val="22"/>
          <w:szCs w:val="22"/>
        </w:rPr>
        <w:t xml:space="preserve">Define conversational design patterns, interaction models, and user-facing AI experience standards.</w:t>
      </w:r>
    </w:p>
    <w:p>
      <w:pPr>
        <w:pStyle w:val="ListParagraph"/>
        <w:numPr>
          <w:ilvl w:val="0"/>
          <w:numId w:val="2"/>
        </w:numPr>
        <w:spacing w:before="40" w:after="40"/>
      </w:pPr>
      <w:r>
        <w:rPr>
          <w:rFonts w:ascii="Arial" w:cs="Arial" w:eastAsia="Arial" w:hAnsi="Arial"/>
          <w:sz w:val="22"/>
          <w:szCs w:val="22"/>
        </w:rPr>
        <w:t xml:space="preserve">Work with product and design teams to ensure chat interfaces reflect business intent and end-user needs.</w:t>
      </w:r>
    </w:p>
    <w:p>
      <w:pPr>
        <w:pStyle w:val="ListParagraph"/>
        <w:numPr>
          <w:ilvl w:val="0"/>
          <w:numId w:val="2"/>
        </w:numPr>
        <w:spacing w:before="40" w:after="40"/>
      </w:pPr>
      <w:r>
        <w:rPr>
          <w:rFonts w:ascii="Arial" w:cs="Arial" w:eastAsia="Arial" w:hAnsi="Arial"/>
          <w:sz w:val="22"/>
          <w:szCs w:val="22"/>
        </w:rPr>
        <w:t xml:space="preserve">Evaluate and recommend front-end frameworks, component patterns, and accessibility standards for AI-driven interfaces.</w:t>
      </w:r>
    </w:p>
    <w:p>
      <w:pPr>
        <w:spacing w:before="160" w:after="0"/>
      </w:pPr>
      <w:r>
        <w:t xml:space="preserve"/>
      </w:r>
    </w:p>
    <w:p>
      <w:pPr>
        <w:spacing w:before="320" w:after="80"/>
      </w:pPr>
      <w:r>
        <w:rPr>
          <w:rFonts w:ascii="Arial" w:cs="Arial" w:eastAsia="Arial" w:hAnsi="Arial"/>
          <w:b/>
          <w:bCs/>
          <w:color w:val="4F46B8"/>
          <w:sz w:val="32"/>
          <w:szCs w:val="32"/>
        </w:rPr>
        <w:t xml:space="preserve">Key Interfaces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4F46B8" w:val="clear"/>
            <w:tcMar>
              <w:top w:type="dxa" w:w="120"/>
              <w:left w:type="dxa" w:w="160"/>
              <w:bottom w:type="dxa" w:w="120"/>
              <w:right w:type="dxa" w:w="160"/>
            </w:tcMar>
          </w:tcPr>
          <w:p>
            <w:r>
              <w:rPr>
                <w:rFonts w:ascii="Arial" w:cs="Arial" w:eastAsia="Arial" w:hAnsi="Arial"/>
                <w:b/>
                <w:bCs/>
                <w:color w:val="FFFFFF"/>
                <w:sz w:val="20"/>
                <w:szCs w:val="20"/>
              </w:rPr>
              <w:t xml:space="preserve">Stakeholder</w:t>
            </w:r>
          </w:p>
        </w:tc>
        <w:tc>
          <w:tcPr>
            <w:tcW w:type="dxa" w:w="7080"/>
            <w:tcBorders>
              <w:top w:val="none" w:color="FFFFFF" w:sz="0"/>
              <w:left w:val="none" w:color="FFFFFF" w:sz="0"/>
              <w:bottom w:val="none" w:color="FFFFFF" w:sz="0"/>
              <w:right w:val="none" w:color="FFFFFF" w:sz="0"/>
            </w:tcBorders>
            <w:shd w:fill="4F46B8" w:val="clear"/>
            <w:tcMar>
              <w:top w:type="dxa" w:w="120"/>
              <w:left w:type="dxa" w:w="160"/>
              <w:bottom w:type="dxa" w:w="120"/>
              <w:right w:type="dxa" w:w="160"/>
            </w:tcMar>
          </w:tcPr>
          <w:p>
            <w:r>
              <w:rPr>
                <w:rFonts w:ascii="Arial" w:cs="Arial" w:eastAsia="Arial" w:hAnsi="Arial"/>
                <w:b/>
                <w:bCs/>
                <w:color w:val="FFFFFF"/>
                <w:sz w:val="20"/>
                <w:szCs w:val="20"/>
              </w:rPr>
              <w:t xml:space="preserve">Nature of Engagement</w:t>
            </w:r>
          </w:p>
        </w:tc>
      </w:tr>
      <w:tr>
        <w:tc>
          <w:tcPr>
            <w:tcW w:type="dxa" w:w="300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b/>
                <w:bCs/>
                <w:color w:val="3C3489"/>
                <w:sz w:val="21"/>
                <w:szCs w:val="21"/>
              </w:rPr>
              <w:t xml:space="preserve">Business &amp; Product Leads</w:t>
            </w:r>
          </w:p>
        </w:tc>
        <w:tc>
          <w:tcPr>
            <w:tcW w:type="dxa" w:w="7080"/>
            <w:tcBorders>
              <w:top w:val="none" w:color="FFFFFF" w:sz="0"/>
              <w:left w:val="none" w:color="FFFFFF" w:sz="0"/>
              <w:bottom w:val="single" w:color="DDDDDD" w:sz="1"/>
              <w:right w:val="none" w:color="FFFFFF" w:sz="0"/>
            </w:tcBorders>
            <w:shd w:fill="F8F8FC" w:val="clear"/>
            <w:tcMar>
              <w:top w:type="dxa" w:w="100"/>
              <w:left w:type="dxa" w:w="160"/>
              <w:bottom w:type="dxa" w:w="100"/>
              <w:right w:type="dxa" w:w="160"/>
            </w:tcMar>
          </w:tcPr>
          <w:p>
            <w:r>
              <w:rPr>
                <w:rFonts w:ascii="Arial" w:cs="Arial" w:eastAsia="Arial" w:hAnsi="Arial"/>
                <w:color w:val="444444"/>
                <w:sz w:val="21"/>
                <w:szCs w:val="21"/>
              </w:rPr>
              <w:t xml:space="preserve">Use case intake, problem framing, and prioritization. Translating business needs into AI solutions.</w:t>
            </w:r>
          </w:p>
        </w:tc>
      </w:tr>
      <w:tr>
        <w:tc>
          <w:tcPr>
            <w:tcW w:type="dxa" w:w="3000"/>
            <w:tcBorders>
              <w:top w:val="none" w:color="FFFFFF" w:sz="0"/>
              <w:left w:val="none" w:color="FFFFFF" w:sz="0"/>
              <w:bottom w:val="single" w:color="DDDDDD" w:sz="1"/>
              <w:right w:val="none" w:color="FFFFFF" w:sz="0"/>
            </w:tcBorders>
            <w:shd w:fill="F8F8FF" w:val="clear"/>
            <w:tcMar>
              <w:top w:type="dxa" w:w="100"/>
              <w:left w:type="dxa" w:w="160"/>
              <w:bottom w:type="dxa" w:w="100"/>
              <w:right w:type="dxa" w:w="160"/>
            </w:tcMar>
          </w:tcPr>
          <w:p>
            <w:r>
              <w:rPr>
                <w:rFonts w:ascii="Arial" w:cs="Arial" w:eastAsia="Arial" w:hAnsi="Arial"/>
                <w:b/>
                <w:bCs/>
                <w:color w:val="3C3489"/>
                <w:sz w:val="21"/>
                <w:szCs w:val="21"/>
              </w:rPr>
              <w:t xml:space="preserve">AI Platform Head</w:t>
            </w:r>
          </w:p>
        </w:tc>
        <w:tc>
          <w:tcPr>
            <w:tcW w:type="dxa" w:w="7080"/>
            <w:tcBorders>
              <w:top w:val="none" w:color="FFFFFF" w:sz="0"/>
              <w:left w:val="none" w:color="FFFFFF" w:sz="0"/>
              <w:bottom w:val="single" w:color="DDDDDD" w:sz="1"/>
              <w:right w:val="none" w:color="FFFFFF" w:sz="0"/>
            </w:tcBorders>
            <w:shd w:fill="FAFAFA" w:val="clear"/>
            <w:tcMar>
              <w:top w:type="dxa" w:w="100"/>
              <w:left w:type="dxa" w:w="160"/>
              <w:bottom w:type="dxa" w:w="100"/>
              <w:right w:type="dxa" w:w="160"/>
            </w:tcMar>
          </w:tcPr>
          <w:p>
            <w:r>
              <w:rPr>
                <w:rFonts w:ascii="Arial" w:cs="Arial" w:eastAsia="Arial" w:hAnsi="Arial"/>
                <w:color w:val="444444"/>
                <w:sz w:val="21"/>
                <w:szCs w:val="21"/>
              </w:rPr>
              <w:t xml:space="preserve">Collaboration on delivery timing, tool availability, and platform capabilities. No role overlap.</w:t>
            </w:r>
          </w:p>
        </w:tc>
      </w:tr>
      <w:tr>
        <w:tc>
          <w:tcPr>
            <w:tcW w:type="dxa" w:w="300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b/>
                <w:bCs/>
                <w:color w:val="3C3489"/>
                <w:sz w:val="21"/>
                <w:szCs w:val="21"/>
              </w:rPr>
              <w:t xml:space="preserve">Domain Engineering Leads</w:t>
            </w:r>
          </w:p>
        </w:tc>
        <w:tc>
          <w:tcPr>
            <w:tcW w:type="dxa" w:w="7080"/>
            <w:tcBorders>
              <w:top w:val="none" w:color="FFFFFF" w:sz="0"/>
              <w:left w:val="none" w:color="FFFFFF" w:sz="0"/>
              <w:bottom w:val="single" w:color="DDDDDD" w:sz="1"/>
              <w:right w:val="none" w:color="FFFFFF" w:sz="0"/>
            </w:tcBorders>
            <w:shd w:fill="F8F8FC" w:val="clear"/>
            <w:tcMar>
              <w:top w:type="dxa" w:w="100"/>
              <w:left w:type="dxa" w:w="160"/>
              <w:bottom w:type="dxa" w:w="100"/>
              <w:right w:type="dxa" w:w="160"/>
            </w:tcMar>
          </w:tcPr>
          <w:p>
            <w:r>
              <w:rPr>
                <w:rFonts w:ascii="Arial" w:cs="Arial" w:eastAsia="Arial" w:hAnsi="Arial"/>
                <w:color w:val="444444"/>
                <w:sz w:val="21"/>
                <w:szCs w:val="21"/>
              </w:rPr>
              <w:t xml:space="preserve">Architectural guidance, use case delivery support, cross-team coordination.</w:t>
            </w:r>
          </w:p>
        </w:tc>
      </w:tr>
      <w:tr>
        <w:tc>
          <w:tcPr>
            <w:tcW w:type="dxa" w:w="3000"/>
            <w:tcBorders>
              <w:top w:val="none" w:color="FFFFFF" w:sz="0"/>
              <w:left w:val="none" w:color="FFFFFF" w:sz="0"/>
              <w:bottom w:val="single" w:color="DDDDDD" w:sz="1"/>
              <w:right w:val="none" w:color="FFFFFF" w:sz="0"/>
            </w:tcBorders>
            <w:shd w:fill="F8F8FF" w:val="clear"/>
            <w:tcMar>
              <w:top w:type="dxa" w:w="100"/>
              <w:left w:type="dxa" w:w="160"/>
              <w:bottom w:type="dxa" w:w="100"/>
              <w:right w:type="dxa" w:w="160"/>
            </w:tcMar>
          </w:tcPr>
          <w:p>
            <w:r>
              <w:rPr>
                <w:rFonts w:ascii="Arial" w:cs="Arial" w:eastAsia="Arial" w:hAnsi="Arial"/>
                <w:b/>
                <w:bCs/>
                <w:color w:val="3C3489"/>
                <w:sz w:val="21"/>
                <w:szCs w:val="21"/>
              </w:rPr>
              <w:t xml:space="preserve">End Users</w:t>
            </w:r>
          </w:p>
        </w:tc>
        <w:tc>
          <w:tcPr>
            <w:tcW w:type="dxa" w:w="7080"/>
            <w:tcBorders>
              <w:top w:val="none" w:color="FFFFFF" w:sz="0"/>
              <w:left w:val="none" w:color="FFFFFF" w:sz="0"/>
              <w:bottom w:val="single" w:color="DDDDDD" w:sz="1"/>
              <w:right w:val="none" w:color="FFFFFF" w:sz="0"/>
            </w:tcBorders>
            <w:shd w:fill="FAFAFA" w:val="clear"/>
            <w:tcMar>
              <w:top w:type="dxa" w:w="100"/>
              <w:left w:type="dxa" w:w="160"/>
              <w:bottom w:type="dxa" w:w="100"/>
              <w:right w:type="dxa" w:w="160"/>
            </w:tcMar>
          </w:tcPr>
          <w:p>
            <w:r>
              <w:rPr>
                <w:rFonts w:ascii="Arial" w:cs="Arial" w:eastAsia="Arial" w:hAnsi="Arial"/>
                <w:color w:val="444444"/>
                <w:sz w:val="21"/>
                <w:szCs w:val="21"/>
              </w:rPr>
              <w:t xml:space="preserve">Chat UI strategy and experience design — ensuring AI interfaces are intuitive and effective.</w:t>
            </w:r>
          </w:p>
        </w:tc>
      </w:tr>
      <w:tr>
        <w:tc>
          <w:tcPr>
            <w:tcW w:type="dxa" w:w="3000"/>
            <w:tcBorders>
              <w:top w:val="none" w:color="FFFFFF" w:sz="0"/>
              <w:left w:val="none" w:color="FFFFFF" w:sz="0"/>
              <w:bottom w:val="single" w:color="DDDDDD" w:sz="1"/>
              <w:right w:val="none" w:color="FFFFFF" w:sz="0"/>
            </w:tcBorders>
            <w:shd w:fill="EAE9FC" w:val="clear"/>
            <w:tcMar>
              <w:top w:type="dxa" w:w="100"/>
              <w:left w:type="dxa" w:w="160"/>
              <w:bottom w:type="dxa" w:w="100"/>
              <w:right w:type="dxa" w:w="160"/>
            </w:tcMar>
          </w:tcPr>
          <w:p>
            <w:r>
              <w:rPr>
                <w:rFonts w:ascii="Arial" w:cs="Arial" w:eastAsia="Arial" w:hAnsi="Arial"/>
                <w:b/>
                <w:bCs/>
                <w:color w:val="3C3489"/>
                <w:sz w:val="21"/>
                <w:szCs w:val="21"/>
              </w:rPr>
              <w:t xml:space="preserve">Data &amp; Analytics Teams</w:t>
            </w:r>
          </w:p>
        </w:tc>
        <w:tc>
          <w:tcPr>
            <w:tcW w:type="dxa" w:w="7080"/>
            <w:tcBorders>
              <w:top w:val="none" w:color="FFFFFF" w:sz="0"/>
              <w:left w:val="none" w:color="FFFFFF" w:sz="0"/>
              <w:bottom w:val="single" w:color="DDDDDD" w:sz="1"/>
              <w:right w:val="none" w:color="FFFFFF" w:sz="0"/>
            </w:tcBorders>
            <w:shd w:fill="F8F8FC" w:val="clear"/>
            <w:tcMar>
              <w:top w:type="dxa" w:w="100"/>
              <w:left w:type="dxa" w:w="160"/>
              <w:bottom w:type="dxa" w:w="100"/>
              <w:right w:type="dxa" w:w="160"/>
            </w:tcMar>
          </w:tcPr>
          <w:p>
            <w:r>
              <w:rPr>
                <w:rFonts w:ascii="Arial" w:cs="Arial" w:eastAsia="Arial" w:hAnsi="Arial"/>
                <w:color w:val="444444"/>
                <w:sz w:val="21"/>
                <w:szCs w:val="21"/>
              </w:rPr>
              <w:t xml:space="preserve">Aligning on data availability and readiness required to enable AI use cases.</w:t>
            </w:r>
          </w:p>
        </w:tc>
      </w:tr>
    </w:tbl>
    <w:p>
      <w:pPr>
        <w:spacing w:before="200" w:after="0"/>
      </w:pPr>
      <w:r>
        <w:t xml:space="preserve"/>
      </w:r>
    </w:p>
    <w:p>
      <w:pPr>
        <w:pBdr>
          <w:left w:val="single" w:color="4F46B8" w:sz="18" w:space="12"/>
        </w:pBdr>
        <w:spacing w:before="80" w:after="60"/>
        <w:ind w:left="280"/>
      </w:pPr>
      <w:r>
        <w:rPr>
          <w:rFonts w:ascii="Arial" w:cs="Arial" w:eastAsia="Arial" w:hAnsi="Arial"/>
          <w:b/>
          <w:bCs/>
          <w:color w:val="4F46B8"/>
          <w:sz w:val="22"/>
          <w:szCs w:val="22"/>
        </w:rPr>
        <w:t xml:space="preserve">Summary</w:t>
      </w:r>
    </w:p>
    <w:p>
      <w:pPr>
        <w:pBdr>
          <w:left w:val="single" w:color="4F46B8" w:sz="18" w:space="12"/>
        </w:pBdr>
        <w:spacing w:before="0" w:after="80"/>
        <w:ind w:left="280"/>
      </w:pPr>
      <w:r>
        <w:rPr>
          <w:rFonts w:ascii="Arial" w:cs="Arial" w:eastAsia="Arial" w:hAnsi="Arial"/>
          <w:i/>
          <w:iCs/>
          <w:color w:val="444444"/>
          <w:sz w:val="22"/>
          <w:szCs w:val="22"/>
        </w:rPr>
        <w:t xml:space="preserve">This role owns the full arc from strategy to experience: deciding what gets built with AI, shaping how agents and solutions are designed, and ensuring the end-user experience meets business intent. The AI Platform Head owns the supply side. This role owns the demand side — and the UI layer that users ultimately interact with.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spacing w:before="80"/>
    </w:pPr>
    <w:r>
      <w:rPr>
        <w:rFonts w:ascii="Arial" w:cs="Arial" w:eastAsia="Arial" w:hAnsi="Arial"/>
        <w:color w:val="AAAAAA"/>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B8" w:sz="2" w:space="1"/>
      </w:pBdr>
      <w:tabs>
        <w:tab w:val="right" w:pos="9026"/>
      </w:tabs>
      <w:spacing w:after="0"/>
    </w:pPr>
    <w:r>
      <w:rPr>
        <w:rFonts w:ascii="Arial" w:cs="Arial" w:eastAsia="Arial" w:hAnsi="Arial"/>
        <w:b/>
        <w:bCs/>
        <w:color w:val="4F46B8"/>
        <w:sz w:val="20"/>
        <w:szCs w:val="20"/>
      </w:rPr>
      <w:t xml:space="preserve">AI Strategy &amp; Solution Enablement Lead</w:t>
    </w:r>
    <w:r>
      <w:rPr>
        <w:sz w:val="20"/>
        <w:szCs w:val="20"/>
      </w:rPr>
      <w:t xml:space="preserve">	</w:t>
    </w:r>
    <w:r>
      <w:rPr>
        <w:rFonts w:ascii="Arial" w:cs="Arial" w:eastAsia="Arial" w:hAnsi="Arial"/>
        <w:color w:val="888888"/>
        <w:sz w:val="20"/>
        <w:szCs w:val="20"/>
      </w:rPr>
      <w:t xml:space="preserve">Commercial Banking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2026-03-23T03:30:59.111Z</dcterms:created>
  <dcterms:modified xsi:type="dcterms:W3CDTF">2026-03-23T03:30:59.112Z</dcterms:modified>
</cp:coreProperties>
</file>

<file path=docProps/custom.xml><?xml version="1.0" encoding="utf-8"?>
<Properties xmlns="http://schemas.openxmlformats.org/officeDocument/2006/custom-properties" xmlns:vt="http://schemas.openxmlformats.org/officeDocument/2006/docPropsVTypes"/>
</file>