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rFonts w:ascii="Calibri" w:cs="Calibri" w:eastAsia="Calibri" w:hAnsi="Calibri"/>
          <w:b/>
          <w:bCs/>
          <w:sz w:val="22"/>
          <w:szCs w:val="22"/>
        </w:rPr>
        <w:t xml:space="preserve">Name: K Sivaraman</w:t>
      </w:r>
    </w:p>
    <w:p>
      <w:pPr>
        <w:spacing w:after="320"/>
        <w:jc w:val="right"/>
      </w:pPr>
      <w:r>
        <w:rPr>
          <w:rFonts w:ascii="Calibri" w:cs="Calibri" w:eastAsia="Calibri" w:hAnsi="Calibri"/>
          <w:b/>
          <w:bCs/>
          <w:sz w:val="22"/>
          <w:szCs w:val="22"/>
        </w:rPr>
        <w:t xml:space="preserve">Roll No.: 241201054</w:t>
      </w:r>
    </w:p>
    <w:p>
      <w:pPr>
        <w:spacing w:after="80"/>
        <w:jc w:val="center"/>
      </w:pPr>
      <w:r>
        <w:rPr>
          <w:rFonts w:ascii="Calibri" w:cs="Calibri" w:eastAsia="Calibri" w:hAnsi="Calibri"/>
          <w:b/>
          <w:bCs/>
          <w:color w:val="1F3864"/>
          <w:sz w:val="28"/>
          <w:szCs w:val="28"/>
        </w:rPr>
        <w:t xml:space="preserve">Experiment 8</w:t>
      </w:r>
    </w:p>
    <w:p>
      <w:pPr>
        <w:spacing w:after="280"/>
        <w:jc w:val="center"/>
      </w:pPr>
      <w:r>
        <w:rPr>
          <w:rFonts w:ascii="Calibri" w:cs="Calibri" w:eastAsia="Calibri" w:hAnsi="Calibri"/>
          <w:b/>
          <w:bCs/>
          <w:sz w:val="26"/>
          <w:szCs w:val="26"/>
        </w:rPr>
        <w:t xml:space="preserve">Case Study on the Business Impact of a No-Code Application Implementation</w:t>
      </w:r>
    </w:p>
    <w:p>
      <w:pPr>
        <w:pStyle w:val="Heading2"/>
        <w:spacing w:after="120" w:before="240"/>
      </w:pPr>
      <w:r>
        <w:rPr>
          <w:rFonts w:ascii="Calibri" w:cs="Calibri" w:eastAsia="Calibri" w:hAnsi="Calibri"/>
          <w:b/>
          <w:bCs/>
          <w:color w:val="1F3864"/>
          <w:sz w:val="26"/>
          <w:szCs w:val="26"/>
        </w:rPr>
        <w:t xml:space="preserve">1. Objective</w:t>
      </w:r>
    </w:p>
    <w:p>
      <w:pPr>
        <w:spacing w:after="140" w:line="300"/>
        <w:jc w:val="both"/>
      </w:pPr>
      <w:r>
        <w:rPr>
          <w:rFonts w:ascii="Calibri" w:cs="Calibri" w:eastAsia="Calibri" w:hAnsi="Calibri"/>
          <w:sz w:val="22"/>
          <w:szCs w:val="22"/>
        </w:rPr>
        <w:t xml:space="preserve">This case study examines the business impact of implementing a no-code application in an operational setting. It considers the effects on process speed, cost, accuracy, staff workload and decision-making, and identifies the conditions under which the benefits were achieved.</w:t>
      </w:r>
    </w:p>
    <w:p>
      <w:pPr>
        <w:pStyle w:val="Heading2"/>
        <w:spacing w:after="120" w:before="240"/>
      </w:pPr>
      <w:r>
        <w:rPr>
          <w:rFonts w:ascii="Calibri" w:cs="Calibri" w:eastAsia="Calibri" w:hAnsi="Calibri"/>
          <w:b/>
          <w:bCs/>
          <w:color w:val="1F3864"/>
          <w:sz w:val="26"/>
          <w:szCs w:val="26"/>
        </w:rPr>
        <w:t xml:space="preserve">2. Organisation and Problem</w:t>
      </w:r>
    </w:p>
    <w:p>
      <w:pPr>
        <w:spacing w:after="140" w:line="300"/>
        <w:jc w:val="both"/>
      </w:pPr>
      <w:r>
        <w:rPr>
          <w:rFonts w:ascii="Calibri" w:cs="Calibri" w:eastAsia="Calibri" w:hAnsi="Calibri"/>
          <w:sz w:val="22"/>
          <w:szCs w:val="22"/>
        </w:rPr>
        <w:t xml:space="preserve">The organisation studied is a mid-sized training institute that runs courses, collects trainee feedback and manages attendance. Before the implementation, attendance was recorded on paper registers and consolidated into spreadsheets at the end of each month. Feedback forms were distributed manually, and results took three to four weeks to reach the academic committee. Errors in data transfer were frequent, and there was no simple way to see attendance trends during a course.</w:t>
      </w:r>
    </w:p>
    <w:p>
      <w:pPr>
        <w:pStyle w:val="Heading2"/>
        <w:spacing w:after="120" w:before="240"/>
      </w:pPr>
      <w:r>
        <w:rPr>
          <w:rFonts w:ascii="Calibri" w:cs="Calibri" w:eastAsia="Calibri" w:hAnsi="Calibri"/>
          <w:b/>
          <w:bCs/>
          <w:color w:val="1F3864"/>
          <w:sz w:val="26"/>
          <w:szCs w:val="26"/>
        </w:rPr>
        <w:t xml:space="preserve">3. Solution Implemented</w:t>
      </w:r>
    </w:p>
    <w:p>
      <w:pPr>
        <w:spacing w:after="140" w:line="300"/>
        <w:jc w:val="both"/>
      </w:pPr>
      <w:r>
        <w:rPr>
          <w:rFonts w:ascii="Calibri" w:cs="Calibri" w:eastAsia="Calibri" w:hAnsi="Calibri"/>
          <w:sz w:val="22"/>
          <w:szCs w:val="22"/>
        </w:rPr>
        <w:t xml:space="preserve">The institute built a no-code application to replace the paper processes. It consisted of an attendance form for trainers, a feedback form for trainees, an approval workflow for course completion certificates and a dashboard for the academic committee. The application was built by two staff members who had received basic training from the platform vendor, without involving the institute’s IT department in development. Data was stored in the platform’s built-in database and exported to the institute’s reporting tool when required.</w:t>
      </w:r>
    </w:p>
    <w:p>
      <w:pPr>
        <w:pStyle w:val="Heading2"/>
        <w:spacing w:after="120" w:before="240"/>
      </w:pPr>
      <w:r>
        <w:rPr>
          <w:rFonts w:ascii="Calibri" w:cs="Calibri" w:eastAsia="Calibri" w:hAnsi="Calibri"/>
          <w:b/>
          <w:bCs/>
          <w:color w:val="1F3864"/>
          <w:sz w:val="26"/>
          <w:szCs w:val="26"/>
        </w:rPr>
        <w:t xml:space="preserve">4. Implementation Process</w:t>
      </w:r>
    </w:p>
    <w:p>
      <w:pPr>
        <w:spacing w:after="140" w:line="300"/>
        <w:jc w:val="both"/>
      </w:pPr>
      <w:r>
        <w:rPr>
          <w:rFonts w:ascii="Calibri" w:cs="Calibri" w:eastAsia="Calibri" w:hAnsi="Calibri"/>
          <w:sz w:val="22"/>
          <w:szCs w:val="22"/>
        </w:rPr>
        <w:t xml:space="preserve">The project was completed in six weeks. The first two weeks were spent mapping existing processes and defining the required fields. Weeks three and four were used for building the forms and workflows and for testing with a single course. The remaining two weeks covered training for all trainers, a phased rollout across courses and collection of user feedback for adjustments.</w:t>
      </w:r>
    </w:p>
    <w:p>
      <w:pPr>
        <w:pStyle w:val="Heading2"/>
        <w:spacing w:after="120" w:before="240"/>
      </w:pPr>
      <w:r>
        <w:rPr>
          <w:rFonts w:ascii="Calibri" w:cs="Calibri" w:eastAsia="Calibri" w:hAnsi="Calibri"/>
          <w:b/>
          <w:bCs/>
          <w:color w:val="1F3864"/>
          <w:sz w:val="26"/>
          <w:szCs w:val="26"/>
        </w:rPr>
        <w:t xml:space="preserve">5. Impact Assessment</w:t>
      </w:r>
    </w:p>
    <w:p>
      <w:pPr>
        <w:spacing w:after="140" w:line="300"/>
        <w:jc w:val="both"/>
      </w:pPr>
      <w:r>
        <w:rPr>
          <w:rFonts w:ascii="Calibri" w:cs="Calibri" w:eastAsia="Calibri" w:hAnsi="Calibri"/>
          <w:sz w:val="22"/>
          <w:szCs w:val="22"/>
        </w:rPr>
        <w:t xml:space="preserve">The impact was measured by comparing data for three months before and three months after implementation. Feedback turnaround fell from about three weeks to two days. Attendance data entry errors reduced substantially because values were selected from drop-down lists and validated at entry. Trainers reported spending less time on administrative work. The licence cost was modest compared with the earlier cost of staff time spent on manual consolidation.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9E2F3" w:color="auto" w:val="clear"/>
            <w:tcMar>
              <w:top w:type="dxa" w:w="60"/>
              <w:left w:type="dxa" w:w="100"/>
              <w:bottom w:type="dxa" w:w="60"/>
              <w:right w:type="dxa" w:w="100"/>
            </w:tcMar>
          </w:tcPr>
          <w:p>
            <w:r>
              <w:rPr>
                <w:rFonts w:ascii="Calibri" w:cs="Calibri" w:eastAsia="Calibri" w:hAnsi="Calibri"/>
                <w:b/>
                <w:bCs/>
                <w:sz w:val="20"/>
                <w:szCs w:val="20"/>
              </w:rPr>
              <w:t xml:space="preserve">Indicator</w:t>
            </w:r>
          </w:p>
        </w:tc>
        <w:tc>
          <w:tcPr>
            <w:tcW w:type="dxa" w:w="2340"/>
            <w:shd w:fill="D9E2F3" w:color="auto" w:val="clear"/>
            <w:tcMar>
              <w:top w:type="dxa" w:w="60"/>
              <w:left w:type="dxa" w:w="100"/>
              <w:bottom w:type="dxa" w:w="60"/>
              <w:right w:type="dxa" w:w="100"/>
            </w:tcMar>
          </w:tcPr>
          <w:p>
            <w:r>
              <w:rPr>
                <w:rFonts w:ascii="Calibri" w:cs="Calibri" w:eastAsia="Calibri" w:hAnsi="Calibri"/>
                <w:b/>
                <w:bCs/>
                <w:sz w:val="20"/>
                <w:szCs w:val="20"/>
              </w:rPr>
              <w:t xml:space="preserve">Before</w:t>
            </w:r>
          </w:p>
        </w:tc>
        <w:tc>
          <w:tcPr>
            <w:tcW w:type="dxa" w:w="2340"/>
            <w:shd w:fill="D9E2F3" w:color="auto" w:val="clear"/>
            <w:tcMar>
              <w:top w:type="dxa" w:w="60"/>
              <w:left w:type="dxa" w:w="100"/>
              <w:bottom w:type="dxa" w:w="60"/>
              <w:right w:type="dxa" w:w="100"/>
            </w:tcMar>
          </w:tcPr>
          <w:p>
            <w:r>
              <w:rPr>
                <w:rFonts w:ascii="Calibri" w:cs="Calibri" w:eastAsia="Calibri" w:hAnsi="Calibri"/>
                <w:b/>
                <w:bCs/>
                <w:sz w:val="20"/>
                <w:szCs w:val="20"/>
              </w:rPr>
              <w:t xml:space="preserve">After</w:t>
            </w:r>
          </w:p>
        </w:tc>
        <w:tc>
          <w:tcPr>
            <w:tcW w:type="dxa" w:w="2340"/>
            <w:shd w:fill="D9E2F3" w:color="auto" w:val="clear"/>
            <w:tcMar>
              <w:top w:type="dxa" w:w="60"/>
              <w:left w:type="dxa" w:w="100"/>
              <w:bottom w:type="dxa" w:w="60"/>
              <w:right w:type="dxa" w:w="100"/>
            </w:tcMar>
          </w:tcPr>
          <w:p>
            <w:r>
              <w:rPr>
                <w:rFonts w:ascii="Calibri" w:cs="Calibri" w:eastAsia="Calibri" w:hAnsi="Calibri"/>
                <w:b/>
                <w:bCs/>
                <w:sz w:val="20"/>
                <w:szCs w:val="20"/>
              </w:rPr>
              <w:t xml:space="preserve">Change</w:t>
            </w:r>
          </w:p>
        </w:tc>
      </w:tr>
      <w:tr>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Feedback turnaround</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About 21 days</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2 days</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Reduced by about 90 percent</w:t>
            </w:r>
          </w:p>
        </w:tc>
      </w:tr>
      <w:tr>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Attendance data errors per month</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Frequent (manual)</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Few (validated entry)</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Substantial reduction</w:t>
            </w:r>
          </w:p>
        </w:tc>
      </w:tr>
      <w:tr>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Admin time per trainer per week</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About 3 hours</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About 1 hour</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Reduced by about 65 percent</w:t>
            </w:r>
          </w:p>
        </w:tc>
      </w:tr>
      <w:tr>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Certificate issue time</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About 10 days</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3 days</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Reduced by about 70 percent</w:t>
            </w:r>
          </w:p>
        </w:tc>
      </w:tr>
    </w:tbl>
    <w:p>
      <w:pPr>
        <w:spacing w:after="120"/>
      </w:pPr>
    </w:p>
    <w:p>
      <w:pPr>
        <w:pStyle w:val="Heading2"/>
        <w:spacing w:after="120" w:before="240"/>
      </w:pPr>
      <w:r>
        <w:rPr>
          <w:rFonts w:ascii="Calibri" w:cs="Calibri" w:eastAsia="Calibri" w:hAnsi="Calibri"/>
          <w:b/>
          <w:bCs/>
          <w:color w:val="1F3864"/>
          <w:sz w:val="26"/>
          <w:szCs w:val="26"/>
        </w:rPr>
        <w:t xml:space="preserve">6. Discussion</w:t>
      </w:r>
    </w:p>
    <w:p>
      <w:pPr>
        <w:spacing w:after="140" w:line="300"/>
        <w:jc w:val="both"/>
      </w:pPr>
      <w:r>
        <w:rPr>
          <w:rFonts w:ascii="Calibri" w:cs="Calibri" w:eastAsia="Calibri" w:hAnsi="Calibri"/>
          <w:sz w:val="22"/>
          <w:szCs w:val="22"/>
        </w:rPr>
        <w:t xml:space="preserve">The success of the implementation depended on a clearly defined problem, active involvement of the end users and a willingness to change existing habits. The no-code approach allowed staff to iterate quickly on the design. However, several limitations emerged. The application depended on a single vendor, data export had to be checked carefully, and the two builders became a single point of knowledge. The institute addressed these by documenting the application and assigning a backup administrator. Security and access roles were also reviewed to ensure that trainee data was visible only to authorised staff.</w:t>
      </w:r>
    </w:p>
    <w:p>
      <w:pPr>
        <w:pStyle w:val="Heading2"/>
        <w:spacing w:after="120" w:before="240"/>
      </w:pPr>
      <w:r>
        <w:rPr>
          <w:rFonts w:ascii="Calibri" w:cs="Calibri" w:eastAsia="Calibri" w:hAnsi="Calibri"/>
          <w:b/>
          <w:bCs/>
          <w:color w:val="1F3864"/>
          <w:sz w:val="26"/>
          <w:szCs w:val="26"/>
        </w:rPr>
        <w:t xml:space="preserve">7. Conclusion</w:t>
      </w:r>
    </w:p>
    <w:p>
      <w:pPr>
        <w:spacing w:after="140" w:line="300"/>
        <w:jc w:val="both"/>
      </w:pPr>
      <w:r>
        <w:rPr>
          <w:rFonts w:ascii="Calibri" w:cs="Calibri" w:eastAsia="Calibri" w:hAnsi="Calibri"/>
          <w:sz w:val="22"/>
          <w:szCs w:val="22"/>
        </w:rPr>
        <w:t xml:space="preserve">The no-code implementation delivered measurable improvements in speed, accuracy and staff productivity at low cost. Its benefits were realised because the problem was well defined, the solution was simple, and the organisation planned for governance and continuity. The case indicates that no-code tools can create significant business value when they are applied to well-understood operational processes.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Experiment 8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2026-10-18T13:54:45.549Z</dcterms:created>
  <dcterms:modified xsi:type="dcterms:W3CDTF">2026-10-18T13:54:45.549Z</dcterms:modified>
</cp:coreProperties>
</file>

<file path=docProps/custom.xml><?xml version="1.0" encoding="utf-8"?>
<Properties xmlns="http://schemas.openxmlformats.org/officeDocument/2006/custom-properties" xmlns:vt="http://schemas.openxmlformats.org/officeDocument/2006/docPropsVTypes"/>
</file>