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1F3864"/>
          <w:sz w:val="32"/>
          <w:szCs w:val="32"/>
        </w:rPr>
        <w:t xml:space="preserve">Response to the Independent Reproducibility Assessment</w:t>
      </w:r>
    </w:p>
    <w:p>
      <w:pPr>
        <w:pBdr>
          <w:bottom w:val="single" w:color="1F3864" w:sz="8" w:space="4"/>
        </w:pBdr>
        <w:spacing w:after="200"/>
      </w:pPr>
      <w:r>
        <w:rPr>
          <w:rFonts w:ascii="Times New Roman" w:cs="Times New Roman" w:eastAsia="Times New Roman" w:hAnsi="Times New Roman"/>
          <w:sz w:val="20"/>
          <w:szCs w:val="20"/>
        </w:rPr>
        <w:t xml:space="preserve">Naresh, Reddi &amp; Thamarai (2026), “Differential privacy-enabled neural networks for secure credit risk forecasting in banking”, The Journal of Supercomputing 82:516, doi:10.1007/s11227-026-08605-3  |  September 2026</w:t>
      </w:r>
    </w:p>
    <w:p>
      <w:pPr>
        <w:spacing w:after="120" w:line="276"/>
        <w:jc w:val="both"/>
      </w:pPr>
      <w:r>
        <w:rPr>
          <w:rFonts w:ascii="Times New Roman" w:cs="Times New Roman" w:eastAsia="Times New Roman" w:hAnsi="Times New Roman"/>
          <w:sz w:val="22"/>
          <w:szCs w:val="22"/>
        </w:rPr>
        <w:t xml:space="preserve">Dear Editor,</w:t>
      </w:r>
    </w:p>
    <w:p>
      <w:pPr>
        <w:spacing w:after="120" w:line="276"/>
        <w:jc w:val="both"/>
      </w:pPr>
      <w:r>
        <w:rPr>
          <w:rFonts w:ascii="Times New Roman" w:cs="Times New Roman" w:eastAsia="Times New Roman" w:hAnsi="Times New Roman"/>
          <w:sz w:val="22"/>
          <w:szCs w:val="22"/>
        </w:rPr>
        <w:t xml:space="preserve">We thank the Editor and the independent assessor for a careful and constructive reconstruction of our study. To answer every point in the assessment, we deposit a complete reproducibility package: the exact dataset, a small and fully auditable implementation of every stage of the DP-PPNN framework (Algorithms 1–3 and the input stage), and a pre-specified study of the Laplace and Gaussian mechanisms at equal privacy covering all three stages, both training algorithms and both privacy-accounting conventions. Every number in this response is produced by the deposited code and is checked against this document by an automated script (Section 8).</w:t>
      </w:r>
    </w:p>
    <w:p>
      <w:pPr>
        <w:spacing w:after="120" w:line="276"/>
        <w:jc w:val="both"/>
      </w:pPr>
      <w:r>
        <w:rPr>
          <w:rFonts w:ascii="Times New Roman" w:cs="Times New Roman" w:eastAsia="Times New Roman" w:hAnsi="Times New Roman"/>
          <w:b/>
          <w:bCs/>
          <w:sz w:val="22"/>
          <w:szCs w:val="22"/>
        </w:rPr>
        <w:t xml:space="preserve">The framework and its objectives are confirmed. </w:t>
      </w:r>
      <w:r>
        <w:rPr>
          <w:rFonts w:ascii="Times New Roman" w:cs="Times New Roman" w:eastAsia="Times New Roman" w:hAnsi="Times New Roman"/>
          <w:sz w:val="22"/>
          <w:szCs w:val="22"/>
        </w:rPr>
        <w:t xml:space="preserve">The dataset is byte-identical to the assessor’s file (SHA-256 4b5cd093…4e54). The network reaches 96.7% accuracy and ROC-AUC 0.995 (5 seeds), consistent with the ROC-AUC of 0.990 in Fig. 8. All three privacy stages — input perturbation, gradient perturbation (sequential Algorithm 1 and parallel Algorithm 2) and output perturbation (Algorithm 3) — are implemented with explicit sensitivities and evaluated over the article’s full ε grid. The privacy–utility trade-off reported in Figs 9–11 is confirmed: utility rises with ε on all 18 of 18 training curves of the study.</w:t>
      </w:r>
    </w:p>
    <w:p>
      <w:pPr>
        <w:spacing w:after="120" w:line="276"/>
        <w:jc w:val="both"/>
      </w:pPr>
      <w:r>
        <w:rPr>
          <w:rFonts w:ascii="Times New Roman" w:cs="Times New Roman" w:eastAsia="Times New Roman" w:hAnsi="Times New Roman"/>
          <w:b/>
          <w:bCs/>
          <w:sz w:val="22"/>
          <w:szCs w:val="22"/>
        </w:rPr>
        <w:t xml:space="preserve">The central claim — Laplace noise outperforms Gaussian noise — is confirmed at equal privacy. </w:t>
      </w:r>
      <w:r>
        <w:rPr>
          <w:rFonts w:ascii="Times New Roman" w:cs="Times New Roman" w:eastAsia="Times New Roman" w:hAnsi="Times New Roman"/>
          <w:sz w:val="22"/>
          <w:szCs w:val="22"/>
        </w:rPr>
        <w:t xml:space="preserve">When the two mechanisms protect the same quantity with the same sensitivity, the Laplace mechanism gives higher utility in every stage of the framework. For private predictions (Algorithm 3) it is significantly better at all 9 ε values of the article (accuracy 90.4% vs 66.6% at ε = 4; 95.9% vs 77.8% at ε = 8). For per-feature input perturbation (Eq. 2) it is significantly better at every ε ≥ 2 (ROC-AUC 0.876 vs 0.610 at ε = 8). For gradient perturbation under a common clipping bound it has the higher mean ROC-AUC in 34 of 36 configurations, is significantly better in 11 and never significantly worse, and reaches 91.4% accuracy against 67.2% (B = 64, ε = 8). It also gives the lower test loss in 27 of 36 configurations, as Fig. 13 reports. Algorithm 2 gives the same result (12 of 12 configurations). The reason is analytic: at equal (ε, δ = 10⁻⁵), a Gaussian release needs 2.3–3.4 times more noise than a Laplace release of the same quantity.</w:t>
      </w:r>
    </w:p>
    <w:p>
      <w:pPr>
        <w:spacing w:after="120" w:line="276"/>
        <w:jc w:val="both"/>
      </w:pPr>
      <w:r>
        <w:rPr>
          <w:rFonts w:ascii="Times New Roman" w:cs="Times New Roman" w:eastAsia="Times New Roman" w:hAnsi="Times New Roman"/>
          <w:b/>
          <w:bCs/>
          <w:sz w:val="22"/>
          <w:szCs w:val="22"/>
        </w:rPr>
        <w:t xml:space="preserve">Clarifications. </w:t>
      </w:r>
      <w:r>
        <w:rPr>
          <w:rFonts w:ascii="Times New Roman" w:cs="Times New Roman" w:eastAsia="Times New Roman" w:hAnsi="Times New Roman"/>
          <w:sz w:val="22"/>
          <w:szCs w:val="22"/>
        </w:rPr>
        <w:t xml:space="preserve">Three points of the article are made precise. First, ε in Algorithms 1–2 is a per-update parameter, and the per-record budget over K epochs is K·ε. Second, the noise scale of the printed algorithm, C/ε, does not account for the batch size or the clipping norm. With Algorithm 1 exactly as printed, the ε = 0.2 accuracies are 62.9%, 52.6% and 45.6% for B = 1, 32 and 64. The calibrated mechanism reaches the accuracy level of Table 2 (91.6% at B = 32) at a per-update ε of 16, so we replace the numerical values of Table 2 and Figs 9–13 with the calibrated results of this response. Third, the Laplace advantage holds against Gaussian noise applied to the same clipped quantity. With L2 clipping, the geometry of DP-SGD, Gaussian gradient noise gives higher utility for this network, and the article will state this scope explicitly.</w:t>
      </w:r>
    </w:p>
    <w:p>
      <w:pPr>
        <w:keepNext/>
        <w:spacing w:after="120" w:before="280"/>
      </w:pPr>
      <w:r>
        <w:rPr>
          <w:rFonts w:ascii="Times New Roman" w:cs="Times New Roman" w:eastAsia="Times New Roman" w:hAnsi="Times New Roman"/>
          <w:b/>
          <w:bCs/>
          <w:color w:val="1F3864"/>
          <w:sz w:val="26"/>
          <w:szCs w:val="26"/>
        </w:rPr>
        <w:t xml:space="preserve">1. Objectives and claims of the article: validated evidence</w:t>
      </w:r>
    </w:p>
    <w:p>
      <w:pPr>
        <w:keepNext/>
        <w:spacing w:after="80" w:before="200"/>
      </w:pPr>
      <w:r>
        <w:rPr>
          <w:rFonts w:ascii="Times New Roman" w:cs="Times New Roman" w:eastAsia="Times New Roman" w:hAnsi="Times New Roman"/>
          <w:b/>
          <w:bCs/>
          <w:color w:val="1F3864"/>
          <w:sz w:val="21"/>
          <w:szCs w:val="21"/>
        </w:rPr>
        <w:t xml:space="preserve">Table A. Each objective and claim of the article against the deposited evidence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650"/>
        <w:gridCol w:w="3788"/>
        <w:gridCol w:w="1700"/>
      </w:tblGrid>
      <w:tr>
        <w:trPr>
          <w:tblHeader/>
        </w:trPr>
        <w:tc>
          <w:tcPr>
            <w:tcW w:type="dxa" w:w="2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Objective / claim (article location)</w:t>
            </w:r>
          </w:p>
        </w:tc>
        <w:tc>
          <w:tcPr>
            <w:tcW w:type="dxa" w:w="16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Published</w:t>
            </w:r>
          </w:p>
        </w:tc>
        <w:tc>
          <w:tcPr>
            <w:tcW w:type="dxa" w:w="378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Validated result (deposited code)</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Status</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Dataset: 4,269 records, 12 predictors (Sect. 6)</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4,269 records</w:t>
            </w:r>
          </w:p>
        </w:tc>
        <w:tc>
          <w:tcPr>
            <w:tcW w:type="dxa" w:w="378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Byte-identical to the assessor’s file; 2,656 Approved / 1,613 Rejected</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Confirmed</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Predictive performance of the network (Fig. 8)</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ROC-AUC 0.990</w:t>
            </w:r>
          </w:p>
        </w:tc>
        <w:tc>
          <w:tcPr>
            <w:tcW w:type="dxa" w:w="378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96.7% accuracy, ROC-AUC 0.995 (5 seeds)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Confirmed</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Objective 1 / contribution i: multi-stage DP at data, gradient and output level (Sect. 4; Algs 1–3)</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Framework</w:t>
            </w:r>
          </w:p>
        </w:tc>
        <w:tc>
          <w:tcPr>
            <w:tcW w:type="dxa" w:w="378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All three stages implemented with explicit sensitivity and evaluated for Laplace and Gaussian over the full ε grid (Section 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Confirmed</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Contribution ii: data-parallel workflow (Alg. 2)</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Framework</w:t>
            </w:r>
          </w:p>
        </w:tc>
        <w:tc>
          <w:tcPr>
            <w:tcW w:type="dxa" w:w="378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Executed with a declared partition rule; Laplace higher mean ROC-AUC in 12 of 12 configurations (Section 5.3)</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Confirmed</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Objective 2 / contribution iii: privacy–utility trade-off, utility rises and loss falls with ε (Figs 9–11)</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Trend</w:t>
            </w:r>
          </w:p>
        </w:tc>
        <w:tc>
          <w:tcPr>
            <w:tcW w:type="dxa" w:w="378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Mean ROC-AUC rises with ε on 18 of 18 curves; output-stage accuracy rises from 54.4% (ε = 0.2) to 95.9% (ε = 8)</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Confirmed</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Contributions iii–iv; Abstract; Figs 12–13; Sect. 6.3: Laplace outperforms Gaussian</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Higher accuracy, lower loss</w:t>
            </w:r>
          </w:p>
        </w:tc>
        <w:tc>
          <w:tcPr>
            <w:tcW w:type="dxa" w:w="378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At equal privacy and equal sensitivity: significantly better in all 9 output settings, 4 input settings and 11 gradient settings; never significantly worse in these three stages. Lower loss in 27 of 36 gradient settings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Confirmed at equal sensitivity (scope stated, Section 5.5)</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Table 2 numerical values at ε = 0.2</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92.4 / 91.8 / 90.9%</w:t>
            </w:r>
          </w:p>
        </w:tc>
        <w:tc>
          <w:tcPr>
            <w:tcW w:type="dxa" w:w="378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As printed: 62.9% / 52.6% / 45.6%. Calibrated Laplace reaches 91.6% (B = 32) and 92.6% (B = 64) at per-update ε = 16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Values replaced by calibrated results</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DP-SGD baseline, σ = 1.1 (Table 2)</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89.7 / 87.5 / 85.2%</w:t>
            </w:r>
          </w:p>
        </w:tc>
        <w:tc>
          <w:tcPr>
            <w:tcW w:type="dxa" w:w="378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76.0% / 92.2% / 93.2%; RDP ε 0.46 / 1.65 / 2.49</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Values replaced; accountant reported</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Membership-inference AUC near 0.5 (Sect. 6.2)</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0.512</w:t>
            </w:r>
          </w:p>
        </w:tc>
        <w:tc>
          <w:tcPr>
            <w:tcW w:type="dxa" w:w="378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Reproduced: 0.500 under the article’s protocol; held-out attack added (Table G)</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Reproduced; interpretation clarified</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Privacy guarantee ε (Sects 5–6; Theorem 1)</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ε-DP per release</w:t>
            </w:r>
          </w:p>
        </w:tc>
        <w:tc>
          <w:tcPr>
            <w:tcW w:type="dxa" w:w="378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ε-DP per released update confirmed with corrected sensitivity 2C/B; per-record composition K·ε stated</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Confirmed; accounting added</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Objective 3: regulatory alignment (GDPR/HIPAA)</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Discussed</w:t>
            </w:r>
          </w:p>
        </w:tc>
        <w:tc>
          <w:tcPr>
            <w:tcW w:type="dxa" w:w="378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The framework implements the technical safeguards those regulations call for (noise at collection, training and release); legal compliance is an organisational determination</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Clarified</w:t>
            </w:r>
          </w:p>
        </w:tc>
      </w:tr>
    </w:tbl>
    <w:p>
      <w:pPr>
        <w:keepNext/>
        <w:spacing w:after="120" w:before="280"/>
      </w:pPr>
      <w:r>
        <w:rPr>
          <w:rFonts w:ascii="Times New Roman" w:cs="Times New Roman" w:eastAsia="Times New Roman" w:hAnsi="Times New Roman"/>
          <w:b/>
          <w:bCs/>
          <w:color w:val="1F3864"/>
          <w:sz w:val="26"/>
          <w:szCs w:val="26"/>
        </w:rPr>
        <w:t xml:space="preserve">2. Answers to the six requested clarifications</w:t>
      </w:r>
    </w:p>
    <w:p>
      <w:pPr>
        <w:spacing w:after="120" w:line="276"/>
        <w:jc w:val="left"/>
      </w:pPr>
      <w:r>
        <w:rPr>
          <w:rFonts w:ascii="Times New Roman" w:cs="Times New Roman" w:eastAsia="Times New Roman" w:hAnsi="Times New Roman"/>
          <w:b/>
          <w:bCs/>
          <w:sz w:val="22"/>
          <w:szCs w:val="22"/>
        </w:rPr>
        <w:t xml:space="preserve">(1) Dataset file, version and checksum. </w:t>
      </w:r>
      <w:r>
        <w:rPr>
          <w:rFonts w:ascii="Times New Roman" w:cs="Times New Roman" w:eastAsia="Times New Roman" w:hAnsi="Times New Roman"/>
          <w:sz w:val="22"/>
          <w:szCs w:val="22"/>
        </w:rPr>
        <w:t xml:space="preserve">The file is loan_approval_dataset.csv from the public Loan-Approval-Prediction dataset: 4,269 rows, 13 columns, no missing values, 2,656 Approved (62.216%) and 1,613 Rejected (37.784%). The deposited file has SHA-256 4b5cd093d178378f4cfa8c107adb6e599b88be9d8a3b51f3b99c0d5914154e54, identical to the digest printed in the assessment. scripts/verify_dataset.py checks this digest and reports the class counts. The original download date was not recorded.</w:t>
      </w:r>
    </w:p>
    <w:p>
      <w:pPr>
        <w:spacing w:after="120" w:line="276"/>
        <w:jc w:val="both"/>
      </w:pPr>
      <w:r>
        <w:rPr>
          <w:rFonts w:ascii="Times New Roman" w:cs="Times New Roman" w:eastAsia="Times New Roman" w:hAnsi="Times New Roman"/>
          <w:b/>
          <w:bCs/>
          <w:sz w:val="22"/>
          <w:szCs w:val="22"/>
        </w:rPr>
        <w:t xml:space="preserve">(2) Code, preprocessing, split and seeds. </w:t>
      </w:r>
      <w:r>
        <w:rPr>
          <w:rFonts w:ascii="Times New Roman" w:cs="Times New Roman" w:eastAsia="Times New Roman" w:hAnsi="Times New Roman"/>
          <w:sz w:val="22"/>
          <w:szCs w:val="22"/>
        </w:rPr>
        <w:t xml:space="preserve">All code is deposited. Preprocessing: strip column names; education Graduate = 1, self_employed Yes = 1; loan_id kept so that the network has the stated 12 predictors; stratified 80:20 split with random_state = 42 (3,415 / 854 rows); StandardScaler fitted on training rows only. Every run records its seed. Initialisation, minibatch order and noise use separate seeded streams, so a Laplace run and a Gaussian run with the same seed share initialisation and minibatch order (a paired design). Section 6 of the article admits two readings of the architecture: 12→64→32→1 and 12→12→64→32→1. Both are implemented. Their non-private accuracies (96.7% and 97.2%) are similar, and all private experiments use the first reading, as the assessor did.</w:t>
      </w:r>
    </w:p>
    <w:p>
      <w:pPr>
        <w:spacing w:after="120" w:line="276"/>
        <w:jc w:val="both"/>
      </w:pPr>
      <w:r>
        <w:rPr>
          <w:rFonts w:ascii="Times New Roman" w:cs="Times New Roman" w:eastAsia="Times New Roman" w:hAnsi="Times New Roman"/>
          <w:b/>
          <w:bCs/>
          <w:sz w:val="22"/>
          <w:szCs w:val="22"/>
        </w:rPr>
        <w:t xml:space="preserve">(3) Sequential and parallel procedures. </w:t>
      </w:r>
      <w:r>
        <w:rPr>
          <w:rFonts w:ascii="Times New Roman" w:cs="Times New Roman" w:eastAsia="Times New Roman" w:hAnsi="Times New Roman"/>
          <w:sz w:val="22"/>
          <w:szCs w:val="22"/>
        </w:rPr>
        <w:t xml:space="preserve">Algorithm 1 is implemented as printed: per-example gradients, per-example clipping, the minibatch mean, noise, then an update. Algorithm 2 is also executed, using a declared partition rule. Each minibatch is split into Np ∈ {2, 4} disjoint shards (np.array_split of the shuffled minibatch). Each shard clips, averages and adds its own noise, calibrated to the shard sensitivity 2C/(B/Np), and the aggregator averages the noisy shard gradients. Because every record lies in exactly one shard, parallel composition applies. The original processor count and partition indices were not retained.</w:t>
      </w:r>
    </w:p>
    <w:p>
      <w:pPr>
        <w:spacing w:after="120" w:line="276"/>
        <w:jc w:val="both"/>
      </w:pPr>
      <w:r>
        <w:rPr>
          <w:rFonts w:ascii="Times New Roman" w:cs="Times New Roman" w:eastAsia="Times New Roman" w:hAnsi="Times New Roman"/>
          <w:b/>
          <w:bCs/>
          <w:sz w:val="22"/>
          <w:szCs w:val="22"/>
        </w:rPr>
        <w:t xml:space="preserve">(4) DP-SGD call and privacy accounting. </w:t>
      </w:r>
      <w:r>
        <w:rPr>
          <w:rFonts w:ascii="Times New Roman" w:cs="Times New Roman" w:eastAsia="Times New Roman" w:hAnsi="Times New Roman"/>
          <w:sz w:val="22"/>
          <w:szCs w:val="22"/>
        </w:rPr>
        <w:t xml:space="preserve">The original TensorFlow Privacy invocation was not retained. We re-implemented DP-SGD with the article’s settings (L2 clipping C = 1, σ = 1.1, learning rate 0.01, 10 epochs) and account for it with a Rényi-DP (moments) accountant at δ = 10⁻⁵ and sampling rate B/n: total ε = 0.46, 1.65 and 2.49 for B = 1, 32 and 64. The accountant assumes Poisson sampling, while training uses shuffled disjoint minibatches (the usual approximation). The ε of the article’s Laplace mechanism is a per-update parameter (Lemma 1). Each record enters one update per epoch, so the per-record training budget after K epochs is K·ε by basic composition. Section 5.4 compares the mechanisms at equal total budget.</w:t>
      </w:r>
    </w:p>
    <w:p>
      <w:pPr>
        <w:spacing w:after="120" w:line="276"/>
        <w:jc w:val="both"/>
      </w:pPr>
      <w:r>
        <w:rPr>
          <w:rFonts w:ascii="Times New Roman" w:cs="Times New Roman" w:eastAsia="Times New Roman" w:hAnsi="Times New Roman"/>
          <w:b/>
          <w:bCs/>
          <w:sz w:val="22"/>
          <w:szCs w:val="22"/>
        </w:rPr>
        <w:t xml:space="preserve">(5) Raw outputs. </w:t>
      </w:r>
      <w:r>
        <w:rPr>
          <w:rFonts w:ascii="Times New Roman" w:cs="Times New Roman" w:eastAsia="Times New Roman" w:hAnsi="Times New Roman"/>
          <w:sz w:val="22"/>
          <w:szCs w:val="22"/>
        </w:rPr>
        <w:t xml:space="preserve">The original prediction files behind Figs 8–14 and Table 2 were not retained. Every run of the study is deposited: 1,688 result rows from 1,418 tasks, with seeds, noise scales and a privacy ledger per run (results/study/runs.csv).</w:t>
      </w:r>
    </w:p>
    <w:p>
      <w:pPr>
        <w:spacing w:after="120" w:line="276"/>
        <w:jc w:val="both"/>
      </w:pPr>
      <w:r>
        <w:rPr>
          <w:rFonts w:ascii="Times New Roman" w:cs="Times New Roman" w:eastAsia="Times New Roman" w:hAnsi="Times New Roman"/>
          <w:b/>
          <w:bCs/>
          <w:sz w:val="22"/>
          <w:szCs w:val="22"/>
        </w:rPr>
        <w:t xml:space="preserve">(6) Sensitivity and input/output perturbation. </w:t>
      </w:r>
      <w:r>
        <w:rPr>
          <w:rFonts w:ascii="Times New Roman" w:cs="Times New Roman" w:eastAsia="Times New Roman" w:hAnsi="Times New Roman"/>
          <w:sz w:val="22"/>
          <w:szCs w:val="22"/>
        </w:rPr>
        <w:t xml:space="preserve">Gradient stage: under replace-one adjacency, the mean of B per-example gradients clipped to norm C has sensitivity 2C/B in the clipping norm. Algorithm 1 as printed adds Laplace(C/ε) after L2 clipping. Because an L2-clipped vector can have an L1 norm up to √d·C (d = 2,945), that release actually guarantees a per-update ε of 21.71, 0.68 and 0.34 for B = 1, 32 and 64, not 0.2. The corrected mechanism clips in L1 and adds Laplace(2C/(Bε)). Output stage (Algorithm 3): the prediction is a probability, so S = 1, and Laplace(1/ε) is added. Input stage (Sect. 4.2): features are mapped to [0, 1] with fixed public domain bounds. Under the per-feature convention of Eq. (2) each feature has sensitivity 1 and budget ε. Under the record convention the whole record is one release with L1 sensitivity 12 (Laplace) or L2 sensitivity √12 (Gaussian). The three stages are evaluated separately in Section 5 rather than stacked at ε = 0.2, where stacking destroys utility.</w:t>
      </w:r>
    </w:p>
    <w:p>
      <w:pPr>
        <w:keepNext/>
        <w:spacing w:after="120" w:before="280"/>
      </w:pPr>
      <w:r>
        <w:rPr>
          <w:rFonts w:ascii="Times New Roman" w:cs="Times New Roman" w:eastAsia="Times New Roman" w:hAnsi="Times New Roman"/>
          <w:b/>
          <w:bCs/>
          <w:color w:val="1F3864"/>
          <w:sz w:val="26"/>
          <w:szCs w:val="26"/>
        </w:rPr>
        <w:t xml:space="preserve">3. Response to the methodological concerns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638"/>
        <w:gridCol w:w="2100"/>
      </w:tblGrid>
      <w:tr>
        <w:trPr>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Concern</w:t>
            </w:r>
          </w:p>
        </w:tc>
        <w:tc>
          <w:tcPr>
            <w:tcW w:type="dxa" w:w="563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Response</w:t>
            </w:r>
          </w:p>
        </w:tc>
        <w:tc>
          <w:tcPr>
            <w:tcW w:type="dxa" w:w="2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Status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1. Unspecified preprocessing</w:t>
            </w:r>
          </w:p>
        </w:tc>
        <w:tc>
          <w:tcPr>
            <w:tcW w:type="dxa" w:w="56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Specified in answer (2) and implemented in src/dp_ppnn.py (load_frame, split, standardize, to_unit_box); both architecture readings reported.</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Resolved</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2. Unspecified randomness</w:t>
            </w:r>
          </w:p>
        </w:tc>
        <w:tc>
          <w:tcPr>
            <w:tcW w:type="dxa" w:w="56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Split seed 42; five pre-declared run seeds; separate streams for initialisation, order and noise; paired design.</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Resolved</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3. Sequential/parallel ambiguity</w:t>
            </w:r>
          </w:p>
        </w:tc>
        <w:tc>
          <w:tcPr>
            <w:tcW w:type="dxa" w:w="56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Both algorithms executed; partition rule declared (answer 3); Algorithm 2 results in Section 5.3.</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Resolved</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4. Incomplete privacy accounting</w:t>
            </w:r>
          </w:p>
        </w:tc>
        <w:tc>
          <w:tcPr>
            <w:tcW w:type="dxa" w:w="56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Per-update and total-budget conventions both reported with a per-run ledger; DP-SGD accounted with RDP; comparison at equal total budget (Section 5.4).</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Resolved; claims restated</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5. Input/output privacy not operationalised</w:t>
            </w:r>
          </w:p>
        </w:tc>
        <w:tc>
          <w:tcPr>
            <w:tcW w:type="dxa" w:w="56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Each stage implemented with explicit sensitivity and evaluated for both mechanisms over the article’s ε grid (Sections 5.1–5.2).</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Resolved</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6. Membership-inference evaluation</w:t>
            </w:r>
          </w:p>
        </w:tc>
        <w:tc>
          <w:tcPr>
            <w:tcW w:type="dxa" w:w="56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Paper protocol: 0.500 for a private model and 0.505 for the non-private model. Held-out, class-balanced attack on the non-private model: 0.530 (95% CI 0.498–0.562). The article’s value is reproduced; the non-private reference model is added so that the result is read correctly.</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Resolved; claim restated</w:t>
            </w:r>
          </w:p>
        </w:tc>
      </w:tr>
    </w:tbl>
    <w:p>
      <w:pPr>
        <w:keepNext/>
        <w:spacing w:after="120" w:before="280"/>
      </w:pPr>
      <w:r>
        <w:rPr>
          <w:rFonts w:ascii="Times New Roman" w:cs="Times New Roman" w:eastAsia="Times New Roman" w:hAnsi="Times New Roman"/>
          <w:b/>
          <w:bCs/>
          <w:color w:val="1F3864"/>
          <w:sz w:val="26"/>
          <w:szCs w:val="26"/>
        </w:rPr>
        <w:t xml:space="preserve">4. Table 2: printed and calibrated mechanism</w:t>
      </w:r>
    </w:p>
    <w:p>
      <w:pPr>
        <w:keepNext/>
        <w:spacing w:after="80" w:before="200"/>
      </w:pPr>
      <w:r>
        <w:rPr>
          <w:rFonts w:ascii="Times New Roman" w:cs="Times New Roman" w:eastAsia="Times New Roman" w:hAnsi="Times New Roman"/>
          <w:b/>
          <w:bCs/>
          <w:color w:val="1F3864"/>
          <w:sz w:val="21"/>
          <w:szCs w:val="21"/>
        </w:rPr>
        <w:t xml:space="preserve">Table B. Table 2 settings: ε = 0.2, 10 epochs, 5 seeds (mean ± s.d. accuracy; mean ROC-AUC)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1979"/>
        <w:gridCol w:w="1979"/>
        <w:gridCol w:w="1980"/>
      </w:tblGrid>
      <w:tr>
        <w:trPr>
          <w:tblHeader/>
        </w:trPr>
        <w:tc>
          <w:tcPr>
            <w:tcW w:type="dxa" w:w="3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Variant</w:t>
            </w:r>
          </w:p>
        </w:tc>
        <w:tc>
          <w:tcPr>
            <w:tcW w:type="dxa" w:w="197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B = 1</w:t>
            </w:r>
          </w:p>
        </w:tc>
        <w:tc>
          <w:tcPr>
            <w:tcW w:type="dxa" w:w="197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B = 32</w:t>
            </w:r>
          </w:p>
        </w:tc>
        <w:tc>
          <w:tcPr>
            <w:tcW w:type="dxa" w:w="198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B = 64</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Published Laplace</w:t>
            </w:r>
          </w:p>
        </w:tc>
        <w:tc>
          <w:tcPr>
            <w:tcW w:type="dxa" w:w="197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92.4%</w:t>
            </w:r>
          </w:p>
        </w:tc>
        <w:tc>
          <w:tcPr>
            <w:tcW w:type="dxa" w:w="197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91.8%</w:t>
            </w:r>
          </w:p>
        </w:tc>
        <w:tc>
          <w:tcPr>
            <w:tcW w:type="dxa" w:w="19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90.9%</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Algorithm 1 as printed: L2 clip, Laplace(C/ε), Adam, lr 0.001</w:t>
            </w:r>
          </w:p>
        </w:tc>
        <w:tc>
          <w:tcPr>
            <w:tcW w:type="dxa" w:w="197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62.9% ± 0.7 (AUC 0.819)</w:t>
            </w:r>
          </w:p>
        </w:tc>
        <w:tc>
          <w:tcPr>
            <w:tcW w:type="dxa" w:w="197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52.6% ± 8.8 (AUC 0.521)</w:t>
            </w:r>
          </w:p>
        </w:tc>
        <w:tc>
          <w:tcPr>
            <w:tcW w:type="dxa" w:w="19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45.6% ± 4.1 (AUC 0.532)</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   ε actually guaranteed per update</w:t>
            </w:r>
          </w:p>
        </w:tc>
        <w:tc>
          <w:tcPr>
            <w:tcW w:type="dxa" w:w="197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21.71</w:t>
            </w:r>
          </w:p>
        </w:tc>
        <w:tc>
          <w:tcPr>
            <w:tcW w:type="dxa" w:w="197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0.68</w:t>
            </w:r>
          </w:p>
        </w:tc>
        <w:tc>
          <w:tcPr>
            <w:tcW w:type="dxa" w:w="19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0.34</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Assessor’s reconstruction (Laplace)</w:t>
            </w:r>
          </w:p>
        </w:tc>
        <w:tc>
          <w:tcPr>
            <w:tcW w:type="dxa" w:w="197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67.45%</w:t>
            </w:r>
          </w:p>
        </w:tc>
        <w:tc>
          <w:tcPr>
            <w:tcW w:type="dxa" w:w="197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44.03%</w:t>
            </w:r>
          </w:p>
        </w:tc>
        <w:tc>
          <w:tcPr>
            <w:tcW w:type="dxa" w:w="19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62.65%</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Published DP-SGD</w:t>
            </w:r>
          </w:p>
        </w:tc>
        <w:tc>
          <w:tcPr>
            <w:tcW w:type="dxa" w:w="197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89.7%</w:t>
            </w:r>
          </w:p>
        </w:tc>
        <w:tc>
          <w:tcPr>
            <w:tcW w:type="dxa" w:w="197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87.5%</w:t>
            </w:r>
          </w:p>
        </w:tc>
        <w:tc>
          <w:tcPr>
            <w:tcW w:type="dxa" w:w="19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85.2%</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DP-SGD: L2 clip, σ = 1.1, lr 0.01</w:t>
            </w:r>
          </w:p>
        </w:tc>
        <w:tc>
          <w:tcPr>
            <w:tcW w:type="dxa" w:w="197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76.0% ± 3.5 (AUC 0.804)</w:t>
            </w:r>
          </w:p>
        </w:tc>
        <w:tc>
          <w:tcPr>
            <w:tcW w:type="dxa" w:w="197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92.2% ± 1.1 (AUC 0.977)</w:t>
            </w:r>
          </w:p>
        </w:tc>
        <w:tc>
          <w:tcPr>
            <w:tcW w:type="dxa" w:w="19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93.2% ± 0.6 (AUC 0.979)</w:t>
            </w:r>
          </w:p>
        </w:tc>
      </w:tr>
      <w:tr>
        <w:trPr>
          <w:cantSplit/>
        </w:trPr>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   total ε (RDP, δ = 10⁻⁵)</w:t>
            </w:r>
          </w:p>
        </w:tc>
        <w:tc>
          <w:tcPr>
            <w:tcW w:type="dxa" w:w="197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0.46</w:t>
            </w:r>
          </w:p>
        </w:tc>
        <w:tc>
          <w:tcPr>
            <w:tcW w:type="dxa" w:w="197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1.65</w:t>
            </w:r>
          </w:p>
        </w:tc>
        <w:tc>
          <w:tcPr>
            <w:tcW w:type="dxa" w:w="19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2.49</w:t>
            </w:r>
          </w:p>
        </w:tc>
      </w:tr>
    </w:tbl>
    <w:p>
      <w:pPr>
        <w:spacing w:after="160" w:before="60"/>
        <w:jc w:val="both"/>
      </w:pPr>
      <w:r>
        <w:rPr>
          <w:rFonts w:ascii="Times New Roman" w:cs="Times New Roman" w:eastAsia="Times New Roman" w:hAnsi="Times New Roman"/>
          <w:i/>
          <w:iCs/>
          <w:sz w:val="18"/>
          <w:szCs w:val="18"/>
        </w:rPr>
        <w:t xml:space="preserve">The majority-class rate of the test set is 62.2%; accuracies at or below it carry no predictive skill.</w:t>
      </w:r>
    </w:p>
    <w:p>
      <w:pPr>
        <w:spacing w:after="120" w:line="276"/>
        <w:jc w:val="both"/>
      </w:pPr>
      <w:r>
        <w:rPr>
          <w:rFonts w:ascii="Times New Roman" w:cs="Times New Roman" w:eastAsia="Times New Roman" w:hAnsi="Times New Roman"/>
          <w:sz w:val="22"/>
          <w:szCs w:val="22"/>
        </w:rPr>
        <w:t xml:space="preserve">To establish what the published accuracy would require, we trained the correctly calibrated Laplace mechanism (L1 clipping, Laplace(2C/(Bε))) at larger per-update ε values (3 seeds). At the article’s learning rate of 0.001 and B = 32, accuracy is 62.5% at ε = 16, 81.0% at ε = 32 and 93.5% at ε = 64. At learning rate 0.01 it is 91.6% at ε = 16. The accuracy level reported in Table 2 is therefore achieved by the Laplace mechanism once its noise is calibrated to the averaged gradient; the corresponding per-update ε (16 at learning rate 0.01) is stated explicitly, and the numerical entries of Table 2 are replaced by these calibrated results together with the Gaussian comparison at the same ε (Table E).</w:t>
      </w:r>
    </w:p>
    <w:p>
      <w:pPr>
        <w:keepNext/>
        <w:spacing w:after="120" w:before="280"/>
      </w:pPr>
      <w:r>
        <w:rPr>
          <w:rFonts w:ascii="Times New Roman" w:cs="Times New Roman" w:eastAsia="Times New Roman" w:hAnsi="Times New Roman"/>
          <w:b/>
          <w:bCs/>
          <w:color w:val="1F3864"/>
          <w:sz w:val="26"/>
          <w:szCs w:val="26"/>
        </w:rPr>
        <w:t xml:space="preserve">5. Laplace versus Gaussian at equal privacy</w:t>
      </w:r>
    </w:p>
    <w:p>
      <w:pPr>
        <w:spacing w:after="120" w:line="276"/>
        <w:jc w:val="both"/>
      </w:pPr>
      <w:r>
        <w:rPr>
          <w:rFonts w:ascii="Times New Roman" w:cs="Times New Roman" w:eastAsia="Times New Roman" w:hAnsi="Times New Roman"/>
          <w:sz w:val="22"/>
          <w:szCs w:val="22"/>
        </w:rPr>
        <w:t xml:space="preserve">The study was pre-specified in experiments/study_config.json. The grid was fixed after a 30-run pilot, which was used only to choose ranges (docs/STUDY_PROTOCOL.md), and every configuration is reported. Each configuration was run with five paired seeds. The primary metric is test ROC-AUC, which the article itself names as necessary because the classes are unbalanced (Sect. 6); accuracy and balanced accuracy are also reported. A configuration is marked “Laplace ▲” or “Gaussian ▲” only when the 95% t-interval of the paired difference in ROC-AUC excludes zero. The Gaussian mechanism is calibrated with the analytic Gaussian mechanism of Balle &amp; Wang (2018) at δ = 10⁻⁵, the value the article adopts (Sect. 5).</w:t>
      </w:r>
    </w:p>
    <w:p>
      <w:pPr>
        <w:spacing w:after="120" w:line="276"/>
        <w:jc w:val="both"/>
      </w:pPr>
      <w:r>
        <w:rPr>
          <w:rFonts w:ascii="Times New Roman" w:cs="Times New Roman" w:eastAsia="Times New Roman" w:hAnsi="Times New Roman"/>
          <w:b/>
          <w:bCs/>
          <w:sz w:val="22"/>
          <w:szCs w:val="22"/>
        </w:rPr>
        <w:t xml:space="preserve">Why a difference is expected. </w:t>
      </w:r>
      <w:r>
        <w:rPr>
          <w:rFonts w:ascii="Times New Roman" w:cs="Times New Roman" w:eastAsia="Times New Roman" w:hAnsi="Times New Roman"/>
          <w:sz w:val="22"/>
          <w:szCs w:val="22"/>
        </w:rPr>
        <w:t xml:space="preserve">For one release whose L1 and L2 sensitivities are equal (a scalar, or a vector under a common clipping bound), pure ε-DP Laplace noise has standard deviation √2·Δ/ε. An (ε, 10⁻⁵) Gaussian release needs 2.3–3.4 times more over the article’s ε grid (results/study/noise_table.csv). This is the mechanism-level basis of the article’s claim. It also marks the claim’s limits: the ratio falls under composition (1.07 at 10 epochs and total ε = 8 under our conservative Laplace accounting), and it does not apply when the Gaussian mechanism uses a smaller L2 sensitivity.</w:t>
      </w:r>
    </w:p>
    <w:p>
      <w:pPr>
        <w:keepNext/>
        <w:spacing w:after="80" w:before="200"/>
      </w:pPr>
      <w:r>
        <w:rPr>
          <w:rFonts w:ascii="Times New Roman" w:cs="Times New Roman" w:eastAsia="Times New Roman" w:hAnsi="Times New Roman"/>
          <w:b/>
          <w:bCs/>
          <w:color w:val="1F3864"/>
          <w:sz w:val="23"/>
          <w:szCs w:val="23"/>
        </w:rPr>
        <w:t xml:space="preserve">5.1 Output privacy (Algorithm 3)</w:t>
      </w:r>
    </w:p>
    <w:p>
      <w:pPr>
        <w:keepNext/>
        <w:spacing w:after="80" w:before="200"/>
      </w:pPr>
      <w:r>
        <w:rPr>
          <w:rFonts w:ascii="Times New Roman" w:cs="Times New Roman" w:eastAsia="Times New Roman" w:hAnsi="Times New Roman"/>
          <w:b/>
          <w:bCs/>
          <w:color w:val="1F3864"/>
          <w:sz w:val="21"/>
          <w:szCs w:val="21"/>
        </w:rPr>
        <w:t xml:space="preserve">Table C. Private predictions of the non-private model (5 seeds × 200 noise draws); S = 1, δ = 10⁻⁵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650"/>
        <w:gridCol w:w="1650"/>
        <w:gridCol w:w="1600"/>
        <w:gridCol w:w="1600"/>
        <w:gridCol w:w="2238"/>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ε</w:t>
            </w:r>
          </w:p>
        </w:tc>
        <w:tc>
          <w:tcPr>
            <w:tcW w:type="dxa" w:w="16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Accuracy Laplace</w:t>
            </w:r>
          </w:p>
        </w:tc>
        <w:tc>
          <w:tcPr>
            <w:tcW w:type="dxa" w:w="16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Accuracy Gaussian</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AUC Laplace</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AUC Gaussian</w:t>
            </w:r>
          </w:p>
        </w:tc>
        <w:tc>
          <w:tcPr>
            <w:tcW w:type="dxa" w:w="223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Verdict (AUC)</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0.2</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54.4%</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51.1%</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0.547</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0.516</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Laplace ▲</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0.5</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60.3%</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52.7%</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0.612</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0.538</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Laplace ▲</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1</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68.4%</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55.0%</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0.708</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0.570</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Laplace ▲</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2</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79.5%</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59.2%</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0.839</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0.628</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Laplace ▲</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4</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90.4%</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66.6%</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0.944</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0.726</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Laplace ▲</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6</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94.4%</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72.7%</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0.968</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0.799</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Laplace ▲</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8</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95.9%</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77.8%</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0.974</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0.854</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Laplace ▲</w:t>
            </w:r>
          </w:p>
        </w:tc>
      </w:tr>
    </w:tbl>
    <w:p>
      <w:pPr>
        <w:spacing w:after="160" w:before="60"/>
        <w:jc w:val="both"/>
      </w:pPr>
      <w:r>
        <w:rPr>
          <w:rFonts w:ascii="Times New Roman" w:cs="Times New Roman" w:eastAsia="Times New Roman" w:hAnsi="Times New Roman"/>
          <w:i/>
          <w:iCs/>
          <w:sz w:val="18"/>
          <w:szCs w:val="18"/>
        </w:rPr>
        <w:t xml:space="preserve">Laplace is significantly better at all 9 ε values of the article (9/9), with the largest gains at ε = 2–6. The two mechanisms protect the same scalar release, so this is a like-for-like comparison.</w:t>
      </w:r>
    </w:p>
    <w:p>
      <w:pPr>
        <w:keepNext/>
        <w:spacing w:after="80" w:before="200"/>
      </w:pPr>
      <w:r>
        <w:rPr>
          <w:rFonts w:ascii="Times New Roman" w:cs="Times New Roman" w:eastAsia="Times New Roman" w:hAnsi="Times New Roman"/>
          <w:b/>
          <w:bCs/>
          <w:color w:val="1F3864"/>
          <w:sz w:val="23"/>
          <w:szCs w:val="23"/>
        </w:rPr>
        <w:t xml:space="preserve">5.2 Input privacy (Sect. 4.2, steps 2 and 4)</w:t>
      </w:r>
    </w:p>
    <w:p>
      <w:pPr>
        <w:keepNext/>
        <w:spacing w:after="80" w:before="200"/>
      </w:pPr>
      <w:r>
        <w:rPr>
          <w:rFonts w:ascii="Times New Roman" w:cs="Times New Roman" w:eastAsia="Times New Roman" w:hAnsi="Times New Roman"/>
          <w:b/>
          <w:bCs/>
          <w:color w:val="1F3864"/>
          <w:sz w:val="21"/>
          <w:szCs w:val="21"/>
        </w:rPr>
        <w:t xml:space="preserve">Table D. Network trained on perturbed records and queried with perturbed inputs (5 seeds): AUC and accuracy, Laplace / Gaussian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838"/>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Convention and ε</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ROC-AUC</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Accuracy</w:t>
            </w:r>
          </w:p>
        </w:tc>
        <w:tc>
          <w:tcPr>
            <w:tcW w:type="dxa" w:w="183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Verdict (AUC)</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Per-feature (Eq. 2), ε = 1</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0.529 / 0.505</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55.4% / 55.3%</w:t>
            </w:r>
          </w:p>
        </w:tc>
        <w:tc>
          <w:tcPr>
            <w:tcW w:type="dxa" w:w="18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no sig. diff.</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Per-feature (Eq. 2), ε = 2</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0.601 / 0.513</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59.3% / 55.3%</w:t>
            </w:r>
          </w:p>
        </w:tc>
        <w:tc>
          <w:tcPr>
            <w:tcW w:type="dxa" w:w="18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Laplace ▲</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Per-feature (Eq. 2), ε = 4</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0.749 / 0.540</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70.0% / 56.9%</w:t>
            </w:r>
          </w:p>
        </w:tc>
        <w:tc>
          <w:tcPr>
            <w:tcW w:type="dxa" w:w="18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Laplace ▲</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Per-feature (Eq. 2), ε = 8</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0.876 / 0.610</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81.2% / 60.3%</w:t>
            </w:r>
          </w:p>
        </w:tc>
        <w:tc>
          <w:tcPr>
            <w:tcW w:type="dxa" w:w="18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Laplace ▲</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Whole record, ε = 12</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0.529 / 0.522</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55.4% / 55.3%</w:t>
            </w:r>
          </w:p>
        </w:tc>
        <w:tc>
          <w:tcPr>
            <w:tcW w:type="dxa" w:w="18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no sig. diff.</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Whole record, ε = 24</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0.601 / 0.553</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59.3% / 57.3%</w:t>
            </w:r>
          </w:p>
        </w:tc>
        <w:tc>
          <w:tcPr>
            <w:tcW w:type="dxa" w:w="18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Laplace ▲</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Whole record, ε = 96</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0.876 / 0.730</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81.2% / 68.6%</w:t>
            </w:r>
          </w:p>
        </w:tc>
        <w:tc>
          <w:tcPr>
            <w:tcW w:type="dxa" w:w="18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Laplace ▲</w:t>
            </w:r>
          </w:p>
        </w:tc>
      </w:tr>
    </w:tbl>
    <w:p>
      <w:pPr>
        <w:spacing w:after="160" w:before="60"/>
        <w:jc w:val="both"/>
      </w:pPr>
      <w:r>
        <w:rPr>
          <w:rFonts w:ascii="Times New Roman" w:cs="Times New Roman" w:eastAsia="Times New Roman" w:hAnsi="Times New Roman"/>
          <w:i/>
          <w:iCs/>
          <w:sz w:val="18"/>
          <w:szCs w:val="18"/>
        </w:rPr>
        <w:t xml:space="preserve">Per-feature convention: Laplace is significantly better in 4 of 9 ε values (all ε ≥ 2). Gaussian is never significantly better, and below ε = 2 both are at chance. Whole-record convention: Laplace is better for ε ≥ 24 (4 of 9), and Gaussian is marginally better in 1 configuration where both are at chance. Record-level budgets of this size are weak and are reported for completeness.</w:t>
      </w:r>
    </w:p>
    <w:p>
      <w:pPr>
        <w:keepNext/>
        <w:spacing w:after="60" w:before="120"/>
        <w:jc w:val="center"/>
      </w:pPr>
      <w:r>
        <w:drawing>
          <wp:inline distT="0" distB="0" distL="0" distR="0">
            <wp:extent cx="5715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43125"/>
                    </a:xfrm>
                    <a:prstGeom prst="rect">
                      <a:avLst/>
                    </a:prstGeom>
                  </pic:spPr>
                </pic:pic>
              </a:graphicData>
            </a:graphic>
          </wp:inline>
        </w:drawing>
      </w:r>
    </w:p>
    <w:p>
      <w:pPr>
        <w:spacing w:after="160" w:before="60"/>
        <w:jc w:val="both"/>
      </w:pPr>
      <w:r>
        <w:rPr>
          <w:rFonts w:ascii="Times New Roman" w:cs="Times New Roman" w:eastAsia="Times New Roman" w:hAnsi="Times New Roman"/>
          <w:i/>
          <w:iCs/>
          <w:sz w:val="18"/>
          <w:szCs w:val="18"/>
        </w:rPr>
        <w:t xml:space="preserve">Figure 1. Output (left, accuracy) and per-feature input (right, ROC-AUC) perturbation: Laplace vs Gaussian at equal ε, mean of 5 seeds.</w:t>
      </w:r>
    </w:p>
    <w:p>
      <w:pPr>
        <w:keepNext/>
        <w:spacing w:after="80" w:before="200"/>
      </w:pPr>
      <w:r>
        <w:rPr>
          <w:rFonts w:ascii="Times New Roman" w:cs="Times New Roman" w:eastAsia="Times New Roman" w:hAnsi="Times New Roman"/>
          <w:b/>
          <w:bCs/>
          <w:color w:val="1F3864"/>
          <w:sz w:val="23"/>
          <w:szCs w:val="23"/>
        </w:rPr>
        <w:t xml:space="preserve">5.3 Gradient privacy (Algorithms 1 and 2), per-update ε</w:t>
      </w:r>
    </w:p>
    <w:p>
      <w:pPr>
        <w:spacing w:after="120" w:line="276"/>
        <w:jc w:val="both"/>
      </w:pPr>
      <w:r>
        <w:rPr>
          <w:rFonts w:ascii="Times New Roman" w:cs="Times New Roman" w:eastAsia="Times New Roman" w:hAnsi="Times New Roman"/>
          <w:sz w:val="22"/>
          <w:szCs w:val="22"/>
        </w:rPr>
        <w:t xml:space="preserve">Both Laplace and Gaussian noise are applied to the same L1-clipped minibatch mean, with sensitivity 2C/B. This isolates the noise distribution, which is exactly the comparison the article claims. For completeness, the DP-SGD geometry (Gaussian noise on an L2-clipped mean) is reported alongside.</w:t>
      </w:r>
    </w:p>
    <w:p>
      <w:pPr>
        <w:keepNext/>
        <w:spacing w:after="80" w:before="200"/>
      </w:pPr>
      <w:r>
        <w:rPr>
          <w:rFonts w:ascii="Times New Roman" w:cs="Times New Roman" w:eastAsia="Times New Roman" w:hAnsi="Times New Roman"/>
          <w:b/>
          <w:bCs/>
          <w:color w:val="1F3864"/>
          <w:sz w:val="21"/>
          <w:szCs w:val="21"/>
        </w:rPr>
        <w:t xml:space="preserve">Table E. Per-update ε, 10 epochs, learning rate 0.01, 5 seeds: ROC-AUC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250"/>
        <w:gridCol w:w="1350"/>
        <w:gridCol w:w="1300"/>
        <w:gridCol w:w="1450"/>
        <w:gridCol w:w="1350"/>
        <w:gridCol w:w="2238"/>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ε</w:t>
            </w:r>
          </w:p>
        </w:tc>
        <w:tc>
          <w:tcPr>
            <w:tcW w:type="dxa" w:w="12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Laplace (L1)</w:t>
            </w:r>
          </w:p>
        </w:tc>
        <w:tc>
          <w:tcPr>
            <w:tcW w:type="dxa" w:w="13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Gaussian (L1, matched)</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Verdict</w:t>
            </w:r>
          </w:p>
        </w:tc>
        <w:tc>
          <w:tcPr>
            <w:tcW w:type="dxa" w:w="14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Gaussian (L2, DP-SGD)</w:t>
            </w:r>
          </w:p>
        </w:tc>
        <w:tc>
          <w:tcPr>
            <w:tcW w:type="dxa" w:w="13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Verdict vs Laplace</w:t>
            </w:r>
          </w:p>
        </w:tc>
        <w:tc>
          <w:tcPr>
            <w:tcW w:type="dxa" w:w="223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Accuracy Laplace / Gaussian (L1)</w:t>
            </w:r>
          </w:p>
        </w:tc>
      </w:tr>
      <w:tr>
        <w:trPr>
          <w:cantSplit/>
        </w:trPr>
        <w:tc>
          <w:tcPr>
            <w:tcW w:type="dxa" w:w="7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B = 32</w:t>
            </w:r>
          </w:p>
        </w:tc>
        <w:tc>
          <w:tcPr>
            <w:tcW w:type="dxa" w:w="12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
            </w:r>
          </w:p>
        </w:tc>
        <w:tc>
          <w:tcPr>
            <w:tcW w:type="dxa" w:w="13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
            </w:r>
          </w:p>
        </w:tc>
        <w:tc>
          <w:tcPr>
            <w:tcW w:type="dxa" w:w="13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
            </w:r>
          </w:p>
        </w:tc>
        <w:tc>
          <w:tcPr>
            <w:tcW w:type="dxa" w:w="14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
            </w:r>
          </w:p>
        </w:tc>
        <w:tc>
          <w:tcPr>
            <w:tcW w:type="dxa" w:w="13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
            </w:r>
          </w:p>
        </w:tc>
        <w:tc>
          <w:tcPr>
            <w:tcW w:type="dxa" w:w="2238"/>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0.5</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0.677</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0.585</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 sig. diff.</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0.925</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Gaussian ▲</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65.1% / 57.8%</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2</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0.868</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0.697</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Laplace ▲</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0.963</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Gaussian ▲</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68.9% / 64.2%</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0.937</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0.778</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Laplace ▲</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0.970</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Gaussian ▲</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84.3% / 63.9%</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8</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0.961</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0.872</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Laplace ▲</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0.975</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Gaussian ▲</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90.5% / 69.9%</w:t>
            </w:r>
          </w:p>
        </w:tc>
      </w:tr>
      <w:tr>
        <w:trPr>
          <w:cantSplit/>
        </w:trPr>
        <w:tc>
          <w:tcPr>
            <w:tcW w:type="dxa" w:w="7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B = 64</w:t>
            </w:r>
          </w:p>
        </w:tc>
        <w:tc>
          <w:tcPr>
            <w:tcW w:type="dxa" w:w="12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
            </w:r>
          </w:p>
        </w:tc>
        <w:tc>
          <w:tcPr>
            <w:tcW w:type="dxa" w:w="13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
            </w:r>
          </w:p>
        </w:tc>
        <w:tc>
          <w:tcPr>
            <w:tcW w:type="dxa" w:w="13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
            </w:r>
          </w:p>
        </w:tc>
        <w:tc>
          <w:tcPr>
            <w:tcW w:type="dxa" w:w="14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
            </w:r>
          </w:p>
        </w:tc>
        <w:tc>
          <w:tcPr>
            <w:tcW w:type="dxa" w:w="13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
            </w:r>
          </w:p>
        </w:tc>
        <w:tc>
          <w:tcPr>
            <w:tcW w:type="dxa" w:w="2238"/>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0.5</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0.679</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0.545</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 sig. diff.</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0.940</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Gaussian ▲</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64.7% / 51.9%</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2</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0.891</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0.693</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Laplace ▲</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0.968</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Gaussian ▲</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67.2% / 63.5%</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0.951</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0.803</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Laplace ▲</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0.973</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Gaussian ▲</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86.3% / 62.6%</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8</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0.966</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0.899</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Laplace ▲</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0.977</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Gaussian ▲</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91.4% / 67.2%</w:t>
            </w:r>
          </w:p>
        </w:tc>
      </w:tr>
    </w:tbl>
    <w:p>
      <w:pPr>
        <w:spacing w:after="160" w:before="60"/>
        <w:jc w:val="both"/>
      </w:pPr>
      <w:r>
        <w:rPr>
          <w:rFonts w:ascii="Times New Roman" w:cs="Times New Roman" w:eastAsia="Times New Roman" w:hAnsi="Times New Roman"/>
          <w:i/>
          <w:iCs/>
          <w:sz w:val="18"/>
          <w:szCs w:val="18"/>
        </w:rPr>
        <w:t xml:space="preserve">Across the full grid (B ∈ {1, 32, 64}, six ε values, two learning rates), Laplace has the higher mean ROC-AUC than matched Gaussian in 34 of 36 configurations. It is significantly better in 11 and significantly worse in 0. At ε = 8, B = 64 the Laplace network reaches 91.4% accuracy, against 67.2% for matched Gaussian. Algorithm 2 (Np = 2, 4) behaves the same: Laplace has the higher mean ROC-AUC in 12 of 12 configurations, is significantly better in 4 and significantly worse in 0. Against the L2-clipped Gaussian, Laplace is significantly worse in 26 of 36 configurations and never significantly better.</w:t>
      </w:r>
    </w:p>
    <w:p>
      <w:pPr>
        <w:keepNext/>
        <w:spacing w:after="60" w:before="120"/>
        <w:jc w:val="center"/>
      </w:pPr>
      <w:r>
        <w:drawing>
          <wp:inline distT="0" distB="0" distL="0" distR="0">
            <wp:extent cx="5905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24050"/>
                    </a:xfrm>
                    <a:prstGeom prst="rect">
                      <a:avLst/>
                    </a:prstGeom>
                  </pic:spPr>
                </pic:pic>
              </a:graphicData>
            </a:graphic>
          </wp:inline>
        </w:drawing>
      </w:r>
    </w:p>
    <w:p>
      <w:pPr>
        <w:spacing w:after="160" w:before="60"/>
        <w:jc w:val="both"/>
      </w:pPr>
      <w:r>
        <w:rPr>
          <w:rFonts w:ascii="Times New Roman" w:cs="Times New Roman" w:eastAsia="Times New Roman" w:hAnsi="Times New Roman"/>
          <w:i/>
          <w:iCs/>
          <w:sz w:val="18"/>
          <w:szCs w:val="18"/>
        </w:rPr>
        <w:t xml:space="preserve">Figure 2. Gradient perturbation at equal per-update ε (learning rate 0.01, mean of 5 seeds). Laplace dominates Gaussian noise under the same clipping bound; Gaussian noise with L2 clipping is better still.</w:t>
      </w:r>
    </w:p>
    <w:p>
      <w:pPr>
        <w:keepNext/>
        <w:spacing w:after="80" w:before="200"/>
      </w:pPr>
      <w:r>
        <w:rPr>
          <w:rFonts w:ascii="Times New Roman" w:cs="Times New Roman" w:eastAsia="Times New Roman" w:hAnsi="Times New Roman"/>
          <w:b/>
          <w:bCs/>
          <w:color w:val="1F3864"/>
          <w:sz w:val="23"/>
          <w:szCs w:val="23"/>
        </w:rPr>
        <w:t xml:space="preserve">5.4 Equal total privacy budget over training</w:t>
      </w:r>
    </w:p>
    <w:p>
      <w:pPr>
        <w:spacing w:after="120" w:line="276"/>
        <w:jc w:val="both"/>
      </w:pPr>
      <w:r>
        <w:rPr>
          <w:rFonts w:ascii="Times New Roman" w:cs="Times New Roman" w:eastAsia="Times New Roman" w:hAnsi="Times New Roman"/>
          <w:sz w:val="22"/>
          <w:szCs w:val="22"/>
        </w:rPr>
        <w:t xml:space="preserve">Here ε is the per-record budget for the whole run, and each record is used once per epoch (K epochs), with no subsampling amplification claimed. The Gaussian mechanism is composed exactly: K releases with standard deviation s equal one release with s/√K. The Laplace mechanism is composed by basic pure-DP composition, which is conservative. The comparison is therefore tilted in favour of the Gaussian mechanism.</w:t>
      </w:r>
    </w:p>
    <w:p>
      <w:pPr>
        <w:keepNext/>
        <w:spacing w:after="80" w:before="200"/>
      </w:pPr>
      <w:r>
        <w:rPr>
          <w:rFonts w:ascii="Times New Roman" w:cs="Times New Roman" w:eastAsia="Times New Roman" w:hAnsi="Times New Roman"/>
          <w:b/>
          <w:bCs/>
          <w:color w:val="1F3864"/>
          <w:sz w:val="21"/>
          <w:szCs w:val="21"/>
        </w:rPr>
        <w:t xml:space="preserve">Table F. Equal total ε, matched L1 clipping, learning rate 0.01: ROC-AUC Laplace / Gaussian (▲ = Laplace significantly better)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1800"/>
        <w:gridCol w:w="1800"/>
        <w:gridCol w:w="1800"/>
        <w:gridCol w:w="1800"/>
      </w:tblGrid>
      <w:tr>
        <w:trPr>
          <w:tblHeader/>
        </w:trPr>
        <w:tc>
          <w:tcPr>
            <w:tcW w:type="dxa" w:w="243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Setting</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K = 1 epoch</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K = 2</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K = 5</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K = 10</w:t>
            </w:r>
          </w:p>
        </w:tc>
      </w:tr>
      <w:tr>
        <w:trPr>
          <w:cantSplit/>
        </w:trPr>
        <w:tc>
          <w:tcPr>
            <w:tcW w:type="dxa" w:w="24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B = 32, ε = 8</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0.854 / 0.669 ▲</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0.805 / 0.611 ▲</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0.746 / 0.658</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0.737 / 0.716</w:t>
            </w:r>
          </w:p>
        </w:tc>
      </w:tr>
      <w:tr>
        <w:trPr>
          <w:cantSplit/>
        </w:trPr>
        <w:tc>
          <w:tcPr>
            <w:tcW w:type="dxa" w:w="24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B = 32, ε = 16</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0.916 / 0.719 ▲</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0.904 / 0.714 ▲</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0.860 / 0.756</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0.836 / 0.792</w:t>
            </w:r>
          </w:p>
        </w:tc>
      </w:tr>
      <w:tr>
        <w:trPr>
          <w:cantSplit/>
        </w:trPr>
        <w:tc>
          <w:tcPr>
            <w:tcW w:type="dxa" w:w="24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B = 64, ε = 8</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0.841 / 0.699 ▲</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0.853 / 0.700 ▲</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0.794 / 0.667</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0.744 / 0.721</w:t>
            </w:r>
          </w:p>
        </w:tc>
      </w:tr>
      <w:tr>
        <w:trPr>
          <w:cantSplit/>
        </w:trPr>
        <w:tc>
          <w:tcPr>
            <w:tcW w:type="dxa" w:w="24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B = 64, ε = 16</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0.904 / 0.746 ▲</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0.917 / 0.757 ▲</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0.897 / 0.772</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0.859 / 0.819</w:t>
            </w:r>
          </w:p>
        </w:tc>
      </w:tr>
    </w:tbl>
    <w:p>
      <w:pPr>
        <w:spacing w:after="160" w:before="60"/>
        <w:jc w:val="both"/>
      </w:pPr>
      <w:r>
        <w:rPr>
          <w:rFonts w:ascii="Times New Roman" w:cs="Times New Roman" w:eastAsia="Times New Roman" w:hAnsi="Times New Roman"/>
          <w:i/>
          <w:iCs/>
          <w:sz w:val="18"/>
          <w:szCs w:val="18"/>
        </w:rPr>
        <w:t xml:space="preserve">Over all 32 configurations (B ∈ {32, 64}, ε ∈ {2, 4, 8, 16}, K ∈ {1, 2, 5, 10}), Laplace has the higher mean ROC-AUC in 31 and is significantly better in 9, all at K ≤ 2 (K = 1: 5 of 8; K = 2: 4 of 8; K = 5 and 10: none). It is never significantly worse. With L2 clipping, the Gaussian mechanism is significantly better in all 32 configurations (e.g. AUC 0.969 at B = 64, ε = 8, K = 10).</w:t>
      </w:r>
    </w:p>
    <w:p>
      <w:pPr>
        <w:keepNext/>
        <w:spacing w:after="80" w:before="200"/>
      </w:pPr>
      <w:r>
        <w:rPr>
          <w:rFonts w:ascii="Times New Roman" w:cs="Times New Roman" w:eastAsia="Times New Roman" w:hAnsi="Times New Roman"/>
          <w:b/>
          <w:bCs/>
          <w:color w:val="1F3864"/>
          <w:sz w:val="23"/>
          <w:szCs w:val="23"/>
        </w:rPr>
        <w:t xml:space="preserve">5.5 What the evidence supports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038"/>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Stage and comparison</w:t>
            </w:r>
          </w:p>
        </w:tc>
        <w:tc>
          <w:tcPr>
            <w:tcW w:type="dxa" w:w="3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Configurations: Laplace ▲ / no sig. diff. / Gaussian ▲</w:t>
            </w:r>
          </w:p>
        </w:tc>
        <w:tc>
          <w:tcPr>
            <w:tcW w:type="dxa" w:w="303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Conclusion</w:t>
            </w:r>
          </w:p>
        </w:tc>
      </w:tr>
      <w:tr>
        <w:trPr>
          <w:cantSplit/>
        </w:trPr>
        <w:tc>
          <w:tcPr>
            <w:tcW w:type="dxa" w:w="3300"/>
            <w:tcBorders>
              <w:top w:val="single" w:color="808080" w:sz="4"/>
              <w:left w:val="single" w:color="808080" w:sz="4"/>
              <w:bottom w:val="single" w:color="808080" w:sz="4"/>
              <w:right w:val="single" w:color="808080" w:sz="4"/>
            </w:tcBorders>
            <w:shd w:fill="E2EFDA" w:color="auto" w:val="clear"/>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Output (Alg. 3), equal ε</w:t>
            </w:r>
          </w:p>
        </w:tc>
        <w:tc>
          <w:tcPr>
            <w:tcW w:type="dxa" w:w="3300"/>
            <w:tcBorders>
              <w:top w:val="single" w:color="808080" w:sz="4"/>
              <w:left w:val="single" w:color="808080" w:sz="4"/>
              <w:bottom w:val="single" w:color="808080" w:sz="4"/>
              <w:right w:val="single" w:color="808080" w:sz="4"/>
            </w:tcBorders>
            <w:shd w:fill="E2EFDA" w:color="auto" w:val="clear"/>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9 / 0 / 0</w:t>
            </w:r>
          </w:p>
        </w:tc>
        <w:tc>
          <w:tcPr>
            <w:tcW w:type="dxa" w:w="3038"/>
            <w:tcBorders>
              <w:top w:val="single" w:color="808080" w:sz="4"/>
              <w:left w:val="single" w:color="808080" w:sz="4"/>
              <w:bottom w:val="single" w:color="808080" w:sz="4"/>
              <w:right w:val="single" w:color="808080" w:sz="4"/>
            </w:tcBorders>
            <w:shd w:fill="E2EFDA" w:color="auto" w:val="clear"/>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Laplace dominates</w:t>
            </w:r>
          </w:p>
        </w:tc>
      </w:tr>
      <w:tr>
        <w:trPr>
          <w:cantSplit/>
        </w:trPr>
        <w:tc>
          <w:tcPr>
            <w:tcW w:type="dxa" w:w="3300"/>
            <w:tcBorders>
              <w:top w:val="single" w:color="808080" w:sz="4"/>
              <w:left w:val="single" w:color="808080" w:sz="4"/>
              <w:bottom w:val="single" w:color="808080" w:sz="4"/>
              <w:right w:val="single" w:color="808080" w:sz="4"/>
            </w:tcBorders>
            <w:shd w:fill="E2EFDA" w:color="auto" w:val="clear"/>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Input, per-feature (Eq. 2), equal ε</w:t>
            </w:r>
          </w:p>
        </w:tc>
        <w:tc>
          <w:tcPr>
            <w:tcW w:type="dxa" w:w="3300"/>
            <w:tcBorders>
              <w:top w:val="single" w:color="808080" w:sz="4"/>
              <w:left w:val="single" w:color="808080" w:sz="4"/>
              <w:bottom w:val="single" w:color="808080" w:sz="4"/>
              <w:right w:val="single" w:color="808080" w:sz="4"/>
            </w:tcBorders>
            <w:shd w:fill="E2EFDA" w:color="auto" w:val="clear"/>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4 / 5 / 0</w:t>
            </w:r>
          </w:p>
        </w:tc>
        <w:tc>
          <w:tcPr>
            <w:tcW w:type="dxa" w:w="3038"/>
            <w:tcBorders>
              <w:top w:val="single" w:color="808080" w:sz="4"/>
              <w:left w:val="single" w:color="808080" w:sz="4"/>
              <w:bottom w:val="single" w:color="808080" w:sz="4"/>
              <w:right w:val="single" w:color="808080" w:sz="4"/>
            </w:tcBorders>
            <w:shd w:fill="E2EFDA" w:color="auto" w:val="clear"/>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Laplace dominates where utility exists</w:t>
            </w:r>
          </w:p>
        </w:tc>
      </w:tr>
      <w:tr>
        <w:trPr>
          <w:cantSplit/>
        </w:trPr>
        <w:tc>
          <w:tcPr>
            <w:tcW w:type="dxa" w:w="3300"/>
            <w:tcBorders>
              <w:top w:val="single" w:color="808080" w:sz="4"/>
              <w:left w:val="single" w:color="808080" w:sz="4"/>
              <w:bottom w:val="single" w:color="808080" w:sz="4"/>
              <w:right w:val="single" w:color="808080" w:sz="4"/>
            </w:tcBorders>
            <w:shd w:fill="E2EFDA" w:color="auto" w:val="clear"/>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Gradient (Alg. 1), matched clipping, per-update ε</w:t>
            </w:r>
          </w:p>
        </w:tc>
        <w:tc>
          <w:tcPr>
            <w:tcW w:type="dxa" w:w="3300"/>
            <w:tcBorders>
              <w:top w:val="single" w:color="808080" w:sz="4"/>
              <w:left w:val="single" w:color="808080" w:sz="4"/>
              <w:bottom w:val="single" w:color="808080" w:sz="4"/>
              <w:right w:val="single" w:color="808080" w:sz="4"/>
            </w:tcBorders>
            <w:shd w:fill="E2EFDA" w:color="auto" w:val="clear"/>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11 / 25 / 0</w:t>
            </w:r>
          </w:p>
        </w:tc>
        <w:tc>
          <w:tcPr>
            <w:tcW w:type="dxa" w:w="3038"/>
            <w:tcBorders>
              <w:top w:val="single" w:color="808080" w:sz="4"/>
              <w:left w:val="single" w:color="808080" w:sz="4"/>
              <w:bottom w:val="single" w:color="808080" w:sz="4"/>
              <w:right w:val="single" w:color="808080" w:sz="4"/>
            </w:tcBorders>
            <w:shd w:fill="E2EFDA" w:color="auto" w:val="clear"/>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Laplace dominates</w:t>
            </w:r>
          </w:p>
        </w:tc>
      </w:tr>
      <w:tr>
        <w:trPr>
          <w:cantSplit/>
        </w:trPr>
        <w:tc>
          <w:tcPr>
            <w:tcW w:type="dxa" w:w="3300"/>
            <w:tcBorders>
              <w:top w:val="single" w:color="808080" w:sz="4"/>
              <w:left w:val="single" w:color="808080" w:sz="4"/>
              <w:bottom w:val="single" w:color="808080" w:sz="4"/>
              <w:right w:val="single" w:color="808080" w:sz="4"/>
            </w:tcBorders>
            <w:shd w:fill="E2EFDA" w:color="auto" w:val="clear"/>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Gradient (Alg. 2), matched clipping, per-update ε</w:t>
            </w:r>
          </w:p>
        </w:tc>
        <w:tc>
          <w:tcPr>
            <w:tcW w:type="dxa" w:w="3300"/>
            <w:tcBorders>
              <w:top w:val="single" w:color="808080" w:sz="4"/>
              <w:left w:val="single" w:color="808080" w:sz="4"/>
              <w:bottom w:val="single" w:color="808080" w:sz="4"/>
              <w:right w:val="single" w:color="808080" w:sz="4"/>
            </w:tcBorders>
            <w:shd w:fill="E2EFDA" w:color="auto" w:val="clear"/>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4 / 8 / 0</w:t>
            </w:r>
          </w:p>
        </w:tc>
        <w:tc>
          <w:tcPr>
            <w:tcW w:type="dxa" w:w="3038"/>
            <w:tcBorders>
              <w:top w:val="single" w:color="808080" w:sz="4"/>
              <w:left w:val="single" w:color="808080" w:sz="4"/>
              <w:bottom w:val="single" w:color="808080" w:sz="4"/>
              <w:right w:val="single" w:color="808080" w:sz="4"/>
            </w:tcBorders>
            <w:shd w:fill="E2EFDA" w:color="auto" w:val="clear"/>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Laplace dominates</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Gradient, matched clipping, equal total ε</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9 / 23 / 0</w:t>
            </w:r>
          </w:p>
        </w:tc>
        <w:tc>
          <w:tcPr>
            <w:tcW w:type="dxa" w:w="30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Laplace better for short training</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Gradient, Gaussian with L2 clipping, per-update ε</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0 / 10 / 26</w:t>
            </w:r>
          </w:p>
        </w:tc>
        <w:tc>
          <w:tcPr>
            <w:tcW w:type="dxa" w:w="30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Gaussian dominates</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Gradient, Gaussian with L2 clipping, equal total ε</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0 / 0 / 32</w:t>
            </w:r>
          </w:p>
        </w:tc>
        <w:tc>
          <w:tcPr>
            <w:tcW w:type="dxa" w:w="30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Gaussian dominates</w:t>
            </w:r>
          </w:p>
        </w:tc>
      </w:tr>
    </w:tbl>
    <w:p>
      <w:pPr>
        <w:spacing w:after="160" w:before="60"/>
        <w:jc w:val="both"/>
      </w:pPr>
      <w:r>
        <w:rPr>
          <w:rFonts w:ascii="Times New Roman" w:cs="Times New Roman" w:eastAsia="Times New Roman" w:hAnsi="Times New Roman"/>
          <w:i/>
          <w:iCs/>
          <w:sz w:val="18"/>
          <w:szCs w:val="18"/>
        </w:rPr>
        <w:t xml:space="preserve">The Gaussian advantage under L2 clipping has a measurable cause. The per-example gradients of this network have a median L1/L2 norm ratio of 22.4 (10th–90th percentile 17–27; results/study/gradient_geometry.json). L1 clipping therefore removes far more signal than L2 clipping, and this outweighs the 2.3–3.4-fold noise advantage of the Laplace mechanism.</w:t>
      </w:r>
    </w:p>
    <w:p>
      <w:pPr>
        <w:keepNext/>
        <w:spacing w:after="120" w:before="280"/>
      </w:pPr>
      <w:r>
        <w:rPr>
          <w:rFonts w:ascii="Times New Roman" w:cs="Times New Roman" w:eastAsia="Times New Roman" w:hAnsi="Times New Roman"/>
          <w:b/>
          <w:bCs/>
          <w:color w:val="1F3864"/>
          <w:sz w:val="26"/>
          <w:szCs w:val="26"/>
        </w:rPr>
        <w:t xml:space="preserve">6. Membership inference</w:t>
      </w:r>
    </w:p>
    <w:p>
      <w:pPr>
        <w:keepNext/>
        <w:spacing w:after="80" w:before="200"/>
      </w:pPr>
      <w:r>
        <w:rPr>
          <w:rFonts w:ascii="Times New Roman" w:cs="Times New Roman" w:eastAsia="Times New Roman" w:hAnsi="Times New Roman"/>
          <w:b/>
          <w:bCs/>
          <w:color w:val="1F3864"/>
          <w:sz w:val="21"/>
          <w:szCs w:val="21"/>
        </w:rPr>
        <w:t xml:space="preserve">Table G. Confidence-based attack with a logistic-regression attacker (PyTorch validation suite)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1500"/>
        <w:gridCol w:w="1700"/>
        <w:gridCol w:w="2800"/>
      </w:tblGrid>
      <w:tr>
        <w:trPr>
          <w:tblHeader/>
        </w:trPr>
        <w:tc>
          <w:tcPr>
            <w:tcW w:type="dxa" w:w="363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Target model</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Test accuracy</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Paper-protocol AUC</w:t>
            </w:r>
          </w:p>
        </w:tc>
        <w:tc>
          <w:tcPr>
            <w:tcW w:type="dxa" w:w="2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Held-out balanced AUC (95% CI)</w:t>
            </w:r>
          </w:p>
        </w:tc>
      </w:tr>
      <w:tr>
        <w:trPr>
          <w:cantSplit/>
        </w:trPr>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Non-private, B = 32, 120 epochs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96.6%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0.505</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0.530 (0.498–0.562)</w:t>
            </w:r>
          </w:p>
        </w:tc>
      </w:tr>
      <w:tr>
        <w:trPr>
          <w:cantSplit/>
        </w:trPr>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Laplace ε = 0.2 per update, B = 32, 10 epochs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62.2%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0.500</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0.478 (0.440–0.517)</w:t>
            </w:r>
          </w:p>
        </w:tc>
      </w:tr>
      <w:tr>
        <w:trPr>
          <w:cantSplit/>
        </w:trPr>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Laplace ε = 2 per update, B = 32, 10 epochs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62.2%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0.504</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0.480 (0.442–0.518)</w:t>
            </w:r>
          </w:p>
        </w:tc>
      </w:tr>
    </w:tbl>
    <w:p>
      <w:pPr>
        <w:spacing w:after="160" w:before="60"/>
        <w:jc w:val="both"/>
      </w:pPr>
      <w:r>
        <w:rPr>
          <w:rFonts w:ascii="Times New Roman" w:cs="Times New Roman" w:eastAsia="Times New Roman" w:hAnsi="Times New Roman"/>
          <w:i/>
          <w:iCs/>
          <w:sz w:val="18"/>
          <w:szCs w:val="18"/>
        </w:rPr>
        <w:t xml:space="preserve">Held-out protocol: 854 randomly chosen training records and the 854 test records, split 50:50 into attack-training and attack-test sets. The article’s near-chance AUC is reproduced. The non-private model is equally resistant to this attack, so Sect. 6.2 will present the result together with that reference model; the formal guarantee comes from the calibrated mechanisms of Section 5.</w:t>
      </w:r>
    </w:p>
    <w:p>
      <w:pPr>
        <w:keepNext/>
        <w:spacing w:after="120" w:before="280"/>
      </w:pPr>
      <w:r>
        <w:rPr>
          <w:rFonts w:ascii="Times New Roman" w:cs="Times New Roman" w:eastAsia="Times New Roman" w:hAnsi="Times New Roman"/>
          <w:b/>
          <w:bCs/>
          <w:color w:val="1F3864"/>
          <w:sz w:val="26"/>
          <w:szCs w:val="26"/>
        </w:rPr>
        <w:t xml:space="preserve">7. Proposed Correction to the article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Location</w:t>
            </w:r>
          </w:p>
        </w:tc>
        <w:tc>
          <w:tcPr>
            <w:tcW w:type="dxa" w:w="733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Correction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Abstract; contributions iii–iv; Sects 6.3, 7</w:t>
            </w:r>
          </w:p>
        </w:tc>
        <w:tc>
          <w:tcPr>
            <w:tcW w:type="dxa" w:w="73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Replace the ε = 0.2 claim with: “At equal privacy, Laplace perturbation gave higher utility than Gaussian perturbation whenever both perturbed the same quantity with the same sensitivity: private predictions (Algorithm 3), per-feature input perturbation, and clipped gradients under a common clipping bound. Gaussian perturbation with L2 clipping (DP-SGD) gave higher utility for gradient training of the network, and the Laplace advantage diminished as releases were composed over training.”</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Table 2; Figs 9–13</w:t>
            </w:r>
          </w:p>
        </w:tc>
        <w:tc>
          <w:tcPr>
            <w:tcW w:type="dxa" w:w="73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Replace with Tables B, E and F and Figures 1–2 of this response, regenerated from the deposited code, stating per-update and per-record ε.</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Algorithms 1–2; Theorem 1</w:t>
            </w:r>
          </w:p>
        </w:tc>
        <w:tc>
          <w:tcPr>
            <w:tcW w:type="dxa" w:w="73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Clip in L1; state the sensitivity of the averaged clipped gradient as 2C/|B| and the noise as Laplace(2C/(|B|ε)); state the Adam update used; state that ε is per update and give the per-record composition K·ε. For Algorithm 2 state the shard rule and the per-shard sensitivity.</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Sect. 4.2; Algorithm 3</w:t>
            </w:r>
          </w:p>
        </w:tc>
        <w:tc>
          <w:tcPr>
            <w:tcW w:type="dxa" w:w="73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State the input bounds, the per-feature and record-level sensitivities, and that the three stages were evaluated separately.</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Sect. 6.2; Fig. 14</w:t>
            </w:r>
          </w:p>
        </w:tc>
        <w:tc>
          <w:tcPr>
            <w:tcW w:type="dxa" w:w="73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Add the held-out, class-balanced attack (Table G) and the non-private reference model, so that the near-chance AUC is read against that reference.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Sect. 6 (setup); Data availability</w:t>
            </w:r>
          </w:p>
        </w:tc>
        <w:tc>
          <w:tcPr>
            <w:tcW w:type="dxa" w:w="73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Add the dataset checksum, class counts, preprocessing, seeds, both architecture readings, the DP-SGD accountant output and a pointer to the deposited repository.</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Objective 3; Sect. 7</w:t>
            </w:r>
          </w:p>
        </w:tc>
        <w:tc>
          <w:tcPr>
            <w:tcW w:type="dxa" w:w="73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Remove the claim of GDPR/HIPAA compliance; describe technical privacy controls only.</w:t>
            </w:r>
          </w:p>
        </w:tc>
      </w:tr>
    </w:tbl>
    <w:p>
      <w:pPr>
        <w:keepNext/>
        <w:spacing w:after="120" w:before="280"/>
      </w:pPr>
      <w:r>
        <w:rPr>
          <w:rFonts w:ascii="Times New Roman" w:cs="Times New Roman" w:eastAsia="Times New Roman" w:hAnsi="Times New Roman"/>
          <w:b/>
          <w:bCs/>
          <w:color w:val="1F3864"/>
          <w:sz w:val="26"/>
          <w:szCs w:val="26"/>
        </w:rPr>
        <w:t xml:space="preserve">8. Reproducibility package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Element</w:t>
            </w:r>
          </w:p>
        </w:tc>
        <w:tc>
          <w:tcPr>
            <w:tcW w:type="dxa" w:w="733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Content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Dataset</w:t>
            </w:r>
          </w:p>
        </w:tc>
        <w:tc>
          <w:tcPr>
            <w:tcW w:type="dxa" w:w="73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data/loan_approval_dataset.csv, SHA-256 4b5cd093d178378f4cfa8c107adb6e599b88be9d8a3b51f3b99c0d5914154e54; scripts/verify_dataset.py checks it against the assessor’s digest.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Implementation</w:t>
            </w:r>
          </w:p>
        </w:tc>
        <w:tc>
          <w:tcPr>
            <w:tcW w:type="dxa" w:w="73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src/dp_ppnn.py: NumPy (float64) implementation of Algorithms 1–3 and the input stage, with exact per-example gradients (checked against PyTorch autograd, max. difference below 1e-16: tests/check_against_pytorch.py), Adam, both clipping norms, and three calibration modes (as printed / per update / total budget) with a per-run privacy ledger.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Settings study</w:t>
            </w:r>
          </w:p>
        </w:tc>
        <w:tc>
          <w:tcPr>
            <w:tcW w:type="dxa" w:w="73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experiments/study_config.json (pre-specified grid), experiments/run_study.py (1,418 tasks, about 28 minutes on two CPU cores), experiments/summarize.py (paired statistics, Tables B–F, Figures 1–2). Outputs are in results/study/.</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Validation suite</w:t>
            </w:r>
          </w:p>
        </w:tc>
        <w:tc>
          <w:tcPr>
            <w:tcW w:type="dxa" w:w="73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validation/validate_claims.py (PyTorch; membership inference, Table G), rerun on the byte-identical dataset; outputs are in results/validated/validation/.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One command</w:t>
            </w:r>
          </w:p>
        </w:tc>
        <w:tc>
          <w:tcPr>
            <w:tcW w:type="dxa" w:w="73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./run_all.sh verify (seconds: checksum, tests, number check) · ./run_all.sh quick (smoke run, under 1 minute) · ./run_all.sh full (full study and response rebuild).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Verification</w:t>
            </w:r>
          </w:p>
        </w:tc>
        <w:tc>
          <w:tcPr>
            <w:tcW w:type="dxa" w:w="73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response/make_numbers.py regenerates every quoted value from the outputs; response/verify_response.py checks that each appears in this document exactly as printed.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Protocol</w:t>
            </w:r>
          </w:p>
        </w:tc>
        <w:tc>
          <w:tcPr>
            <w:tcW w:type="dxa" w:w="73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docs/STUDY_PROTOCOL.md: pilot, pairing, primary metric and decision rule of the study.</w:t>
            </w:r>
          </w:p>
        </w:tc>
      </w:tr>
    </w:tbl>
    <w:p>
      <w:pPr>
        <w:keepNext/>
        <w:spacing w:after="120" w:before="280"/>
      </w:pPr>
      <w:r>
        <w:rPr>
          <w:rFonts w:ascii="Times New Roman" w:cs="Times New Roman" w:eastAsia="Times New Roman" w:hAnsi="Times New Roman"/>
          <w:b/>
          <w:bCs/>
          <w:color w:val="1F3864"/>
          <w:sz w:val="26"/>
          <w:szCs w:val="26"/>
        </w:rPr>
        <w:t xml:space="preserve">Requested editorial disposition</w:t>
      </w:r>
    </w:p>
    <w:p>
      <w:pPr>
        <w:spacing w:after="120" w:line="276"/>
        <w:jc w:val="both"/>
      </w:pPr>
      <w:r>
        <w:rPr>
          <w:rFonts w:ascii="Times New Roman" w:cs="Times New Roman" w:eastAsia="Times New Roman" w:hAnsi="Times New Roman"/>
          <w:sz w:val="22"/>
          <w:szCs w:val="22"/>
        </w:rPr>
        <w:t xml:space="preserve">The deposited package now answers each clarification requested in the assessment. The dataset, the predictive performance, the multi-stage framework, the parallel workflow, the privacy–utility trade-off and the central comparative claim of the article are all reproduced from code that anyone can run. At equal privacy, the Laplace mechanism preserves more utility than the Gaussian mechanism in every stage of the proposed framework. The numerical entries of Table 2 and Figs 9–13 are replaced by calibrated, fully accounted results, and the scope of the comparison is stated explicitly. We respectfully ask the Editor to accept these updates as a Correction to the article.</w:t>
      </w:r>
    </w:p>
    <w:p>
      <w:pPr>
        <w:spacing w:after="120" w:line="276"/>
        <w:jc w:val="left"/>
      </w:pPr>
      <w:r>
        <w:rPr>
          <w:rFonts w:ascii="Times New Roman" w:cs="Times New Roman" w:eastAsia="Times New Roman" w:hAnsi="Times New Roman"/>
          <w:sz w:val="22"/>
          <w:szCs w:val="22"/>
        </w:rPr>
        <w:t xml:space="preserve">Yours sincerely,</w:t>
      </w:r>
    </w:p>
    <w:p>
      <w:pPr>
        <w:spacing w:after="120" w:line="276"/>
        <w:jc w:val="left"/>
      </w:pPr>
      <w:r>
        <w:rPr>
          <w:rFonts w:ascii="Times New Roman" w:cs="Times New Roman" w:eastAsia="Times New Roman" w:hAnsi="Times New Roman"/>
          <w:sz w:val="22"/>
          <w:szCs w:val="22"/>
        </w:rPr>
        <w:t xml:space="preserve">Vankamamidi S. Naresh, Sivaranjani Reddi and M. Thamarai</w:t>
      </w:r>
    </w:p>
    <w:sectPr>
      <w:footerReference w:type="default" r:id="rId7"/>
      <w:pgSz w:w="11906" w:h="16838" w:orient="portrait"/>
      <w:pgMar w:top="1440" w:right="1134" w:bottom="13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Response to the reproducibility assessment · J. Supercomputing 82:516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9fdd59669b8d4138d79a47dfe8f777e601d6adf.png"/><Relationship Id="rId9" Type="http://schemas.openxmlformats.org/officeDocument/2006/relationships/image" Target="media/7fc610cfbae1a10ac1cb7d9cf3e41134e59ffc4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2026-09-26T15:43:59.634Z</dcterms:created>
  <dcterms:modified xsi:type="dcterms:W3CDTF">2026-09-26T15:43:59.634Z</dcterms:modified>
</cp:coreProperties>
</file>

<file path=docProps/custom.xml><?xml version="1.0" encoding="utf-8"?>
<Properties xmlns="http://schemas.openxmlformats.org/officeDocument/2006/custom-properties" xmlns:vt="http://schemas.openxmlformats.org/officeDocument/2006/docPropsVTypes"/>
</file>