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Calibri" w:hAnsi="Calibri"/>
          <w:b w:val="0"/>
          <w:color w:val="000000"/>
          <w:sz w:val="44"/>
        </w:rPr>
        <w:t>Employee Attrition Prediction Report</w:t>
      </w:r>
    </w:p>
    <w:p>
      <w:pPr>
        <w:spacing w:before="0" w:after="240"/>
        <w:jc w:val="left"/>
      </w:pPr>
      <w:r>
        <w:rPr>
          <w:rFonts w:ascii="Calibri" w:hAnsi="Calibri"/>
          <w:i/>
          <w:color w:val="555555"/>
          <w:sz w:val="22"/>
        </w:rPr>
        <w:t>Baseline analysis of the IBM HR employee attrition dataset</w:t>
      </w:r>
    </w:p>
    <w:p>
      <w:pPr>
        <w:spacing w:before="0" w:after="240"/>
        <w:jc w:val="left"/>
      </w:pPr>
      <w:r>
        <w:rPr>
          <w:rFonts w:ascii="Calibri" w:hAnsi="Calibri"/>
          <w:color w:val="555555"/>
          <w:sz w:val="21"/>
        </w:rPr>
        <w:t>Prepared from the notebook analysis in this project workspace.</w:t>
      </w:r>
    </w:p>
    <w:p>
      <w:pPr>
        <w:pStyle w:val="Heading1"/>
      </w:pPr>
      <w:r>
        <w:t>Executive Summary</w:t>
      </w:r>
    </w:p>
    <w:p>
      <w:r>
        <w:t>This project analyzes employee attrition using the IBM HR dataset and trains a random forest model as a baseline predictor. The dataset is clean and complete, but the target is imbalanced, so accuracy alone is not enough to judge usefulness. The current model is better at identifying employees who stay than employees who leave, which is a major limitation for HR use.</w:t>
      </w:r>
    </w:p>
    <w:p>
      <w:pPr>
        <w:pStyle w:val="Heading1"/>
      </w:pPr>
      <w:r>
        <w:t>Project Snapshot</w:t>
      </w:r>
    </w:p>
    <w:tbl>
      <w:tblPr>
        <w:tblStyle w:val="TableGrid"/>
        <w:tblW w:type="dxa" w:w="9360"/>
        <w:tblLook w:firstColumn="1" w:firstRow="1" w:lastColumn="0" w:lastRow="0" w:noHBand="0" w:noVBand="1" w:val="04A0"/>
        <w:tblInd w:w="120" w:type="dxa"/>
        <w:tblLayout w:type="fixed"/>
        <w:tblBorders>
          <w:top w:val="single" w:sz="6" w:space="0" w:color="D9DDE3"/>
          <w:left w:val="single" w:sz="6" w:space="0" w:color="D9DDE3"/>
          <w:bottom w:val="single" w:sz="6" w:space="0" w:color="D9DDE3"/>
          <w:right w:val="single" w:sz="6" w:space="0" w:color="D9DDE3"/>
          <w:insideH w:val="single" w:sz="6" w:space="0" w:color="D9DDE3"/>
          <w:insideV w:val="single" w:sz="6" w:space="0" w:color="D9DDE3"/>
        </w:tblBorders>
      </w:tblPr>
      <w:tblGrid>
        <w:gridCol w:w="2400"/>
        <w:gridCol w:w="6960"/>
      </w:tblGrid>
      <w:tr>
        <w:tc>
          <w:tcPr>
            <w:tcW w:type="dxa" w:w="24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Dataset</w:t>
            </w:r>
          </w:p>
        </w:tc>
        <w:tc>
          <w:tcPr>
            <w:tcW w:type="dxa" w:w="6960"/>
            <w:tcMar>
              <w:top w:w="80" w:type="dxa"/>
              <w:start w:w="120" w:type="dxa"/>
              <w:bottom w:w="80" w:type="dxa"/>
              <w:end w:w="120" w:type="dxa"/>
            </w:tcMar>
          </w:tcPr>
          <w:p>
            <w:pPr>
              <w:spacing w:before="0" w:after="0" w:line="240" w:lineRule="auto"/>
              <w:jc w:val="left"/>
            </w:pPr>
            <w:r/>
            <w:r>
              <w:rPr>
                <w:rFonts w:ascii="Calibri" w:hAnsi="Calibri"/>
                <w:b w:val="0"/>
                <w:color w:val="1F1F1F"/>
                <w:sz w:val="22"/>
              </w:rPr>
              <w:t>WA_Fn-UseC_-HR-Employee-Attrition.csv</w:t>
            </w:r>
          </w:p>
        </w:tc>
      </w:tr>
      <w:tr>
        <w:tc>
          <w:tcPr>
            <w:tcW w:type="dxa" w:w="24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Rows</w:t>
            </w:r>
          </w:p>
        </w:tc>
        <w:tc>
          <w:tcPr>
            <w:tcW w:type="dxa" w:w="6960"/>
            <w:tcMar>
              <w:top w:w="80" w:type="dxa"/>
              <w:start w:w="120" w:type="dxa"/>
              <w:bottom w:w="80" w:type="dxa"/>
              <w:end w:w="120" w:type="dxa"/>
            </w:tcMar>
          </w:tcPr>
          <w:p>
            <w:pPr>
              <w:spacing w:before="0" w:after="0" w:line="240" w:lineRule="auto"/>
              <w:jc w:val="left"/>
            </w:pPr>
            <w:r/>
            <w:r>
              <w:rPr>
                <w:rFonts w:ascii="Calibri" w:hAnsi="Calibri"/>
                <w:b w:val="0"/>
                <w:color w:val="1F1F1F"/>
                <w:sz w:val="22"/>
              </w:rPr>
              <w:t>1,470</w:t>
            </w:r>
          </w:p>
        </w:tc>
      </w:tr>
      <w:tr>
        <w:tc>
          <w:tcPr>
            <w:tcW w:type="dxa" w:w="24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Columns</w:t>
            </w:r>
          </w:p>
        </w:tc>
        <w:tc>
          <w:tcPr>
            <w:tcW w:type="dxa" w:w="6960"/>
            <w:tcMar>
              <w:top w:w="80" w:type="dxa"/>
              <w:start w:w="120" w:type="dxa"/>
              <w:bottom w:w="80" w:type="dxa"/>
              <w:end w:w="120" w:type="dxa"/>
            </w:tcMar>
          </w:tcPr>
          <w:p>
            <w:pPr>
              <w:spacing w:before="0" w:after="0" w:line="240" w:lineRule="auto"/>
              <w:jc w:val="left"/>
            </w:pPr>
            <w:r/>
            <w:r>
              <w:rPr>
                <w:rFonts w:ascii="Calibri" w:hAnsi="Calibri"/>
                <w:b w:val="0"/>
                <w:color w:val="1F1F1F"/>
                <w:sz w:val="22"/>
              </w:rPr>
              <w:t>35</w:t>
            </w:r>
          </w:p>
        </w:tc>
      </w:tr>
      <w:tr>
        <w:tc>
          <w:tcPr>
            <w:tcW w:type="dxa" w:w="24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Target</w:t>
            </w:r>
          </w:p>
        </w:tc>
        <w:tc>
          <w:tcPr>
            <w:tcW w:type="dxa" w:w="6960"/>
            <w:tcMar>
              <w:top w:w="80" w:type="dxa"/>
              <w:start w:w="120" w:type="dxa"/>
              <w:bottom w:w="80" w:type="dxa"/>
              <w:end w:w="120" w:type="dxa"/>
            </w:tcMar>
          </w:tcPr>
          <w:p>
            <w:pPr>
              <w:spacing w:before="0" w:after="0" w:line="240" w:lineRule="auto"/>
              <w:jc w:val="left"/>
            </w:pPr>
            <w:r/>
            <w:r>
              <w:rPr>
                <w:rFonts w:ascii="Calibri" w:hAnsi="Calibri"/>
                <w:b w:val="0"/>
                <w:color w:val="1F1F1F"/>
                <w:sz w:val="22"/>
              </w:rPr>
              <w:t>Attrition</w:t>
            </w:r>
          </w:p>
        </w:tc>
      </w:tr>
      <w:tr>
        <w:tc>
          <w:tcPr>
            <w:tcW w:type="dxa" w:w="24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Target balance</w:t>
            </w:r>
          </w:p>
        </w:tc>
        <w:tc>
          <w:tcPr>
            <w:tcW w:type="dxa" w:w="6960"/>
            <w:tcMar>
              <w:top w:w="80" w:type="dxa"/>
              <w:start w:w="120" w:type="dxa"/>
              <w:bottom w:w="80" w:type="dxa"/>
              <w:end w:w="120" w:type="dxa"/>
            </w:tcMar>
          </w:tcPr>
          <w:p>
            <w:pPr>
              <w:spacing w:before="0" w:after="0" w:line="240" w:lineRule="auto"/>
              <w:jc w:val="left"/>
            </w:pPr>
            <w:r/>
            <w:r>
              <w:rPr>
                <w:rFonts w:ascii="Calibri" w:hAnsi="Calibri"/>
                <w:b w:val="0"/>
                <w:color w:val="1F1F1F"/>
                <w:sz w:val="22"/>
              </w:rPr>
              <w:t>No: 1,233; Yes: 237</w:t>
            </w:r>
          </w:p>
        </w:tc>
      </w:tr>
      <w:tr>
        <w:tc>
          <w:tcPr>
            <w:tcW w:type="dxa" w:w="24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Reported notebook accuracy</w:t>
            </w:r>
          </w:p>
        </w:tc>
        <w:tc>
          <w:tcPr>
            <w:tcW w:type="dxa" w:w="6960"/>
            <w:tcMar>
              <w:top w:w="80" w:type="dxa"/>
              <w:start w:w="120" w:type="dxa"/>
              <w:bottom w:w="80" w:type="dxa"/>
              <w:end w:w="120" w:type="dxa"/>
            </w:tcMar>
          </w:tcPr>
          <w:p>
            <w:pPr>
              <w:spacing w:before="0" w:after="0" w:line="240" w:lineRule="auto"/>
              <w:jc w:val="left"/>
            </w:pPr>
            <w:r/>
            <w:r>
              <w:rPr>
                <w:rFonts w:ascii="Calibri" w:hAnsi="Calibri"/>
                <w:b w:val="0"/>
                <w:color w:val="1F1F1F"/>
                <w:sz w:val="22"/>
              </w:rPr>
              <w:t>0.8163</w:t>
            </w:r>
          </w:p>
        </w:tc>
      </w:tr>
      <w:tr>
        <w:tc>
          <w:tcPr>
            <w:tcW w:type="dxa" w:w="24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Re-evaluated accuracy</w:t>
            </w:r>
          </w:p>
        </w:tc>
        <w:tc>
          <w:tcPr>
            <w:tcW w:type="dxa" w:w="6960"/>
            <w:tcMar>
              <w:top w:w="80" w:type="dxa"/>
              <w:start w:w="120" w:type="dxa"/>
              <w:bottom w:w="80" w:type="dxa"/>
              <w:end w:w="120" w:type="dxa"/>
            </w:tcMar>
          </w:tcPr>
          <w:p>
            <w:pPr>
              <w:spacing w:before="0" w:after="0" w:line="240" w:lineRule="auto"/>
              <w:jc w:val="left"/>
            </w:pPr>
            <w:r/>
            <w:r>
              <w:rPr>
                <w:rFonts w:ascii="Calibri" w:hAnsi="Calibri"/>
                <w:b w:val="0"/>
                <w:color w:val="1F1F1F"/>
                <w:sz w:val="22"/>
              </w:rPr>
              <w:t>0.8435</w:t>
            </w:r>
          </w:p>
        </w:tc>
      </w:tr>
      <w:tr>
        <w:tc>
          <w:tcPr>
            <w:tcW w:type="dxa" w:w="24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ROC-AUC</w:t>
            </w:r>
          </w:p>
        </w:tc>
        <w:tc>
          <w:tcPr>
            <w:tcW w:type="dxa" w:w="6960"/>
            <w:tcMar>
              <w:top w:w="80" w:type="dxa"/>
              <w:start w:w="120" w:type="dxa"/>
              <w:bottom w:w="80" w:type="dxa"/>
              <w:end w:w="120" w:type="dxa"/>
            </w:tcMar>
          </w:tcPr>
          <w:p>
            <w:pPr>
              <w:spacing w:before="0" w:after="0" w:line="240" w:lineRule="auto"/>
              <w:jc w:val="left"/>
            </w:pPr>
            <w:r/>
            <w:r>
              <w:rPr>
                <w:rFonts w:ascii="Calibri" w:hAnsi="Calibri"/>
                <w:b w:val="0"/>
                <w:color w:val="1F1F1F"/>
                <w:sz w:val="22"/>
              </w:rPr>
              <w:t>0.7704</w:t>
            </w:r>
          </w:p>
        </w:tc>
      </w:tr>
    </w:tbl>
    <w:p>
      <w:pPr>
        <w:pStyle w:val="Heading1"/>
      </w:pPr>
      <w:r>
        <w:t>Dataset Overview</w:t>
      </w:r>
    </w:p>
    <w:p>
      <w:r>
        <w:t>The dataset contains 1,470 employee records and 35 features. There are no missing values. The target distribution is imbalanced, with about 16.1% attrition and 83.9% non-attrition.</w:t>
      </w:r>
    </w:p>
    <w:p>
      <w:pPr>
        <w:pStyle w:val="Heading1"/>
      </w:pPr>
      <w:r>
        <w:t>Notebook Workflow</w:t>
      </w:r>
    </w:p>
    <w:p>
      <w:pPr>
        <w:pStyle w:val="ListBullet"/>
      </w:pPr>
      <w:r>
        <w:t>Loaded the CSV into pandas.</w:t>
      </w:r>
    </w:p>
    <w:p>
      <w:pPr>
        <w:pStyle w:val="ListBullet"/>
      </w:pPr>
      <w:r>
        <w:t>Converted binary columns such as Attrition, Gender, Over18, and OverTime into numeric form.</w:t>
      </w:r>
    </w:p>
    <w:p>
      <w:pPr>
        <w:pStyle w:val="ListBullet"/>
      </w:pPr>
      <w:r>
        <w:t>One-hot encoded BusinessTravel, Department, EducationField, JobRole, and MaritalStatus.</w:t>
      </w:r>
    </w:p>
    <w:p>
      <w:pPr>
        <w:pStyle w:val="ListBullet"/>
      </w:pPr>
      <w:r>
        <w:t>Dropped EmployeeNumber, EmployeeCount, Over18, and StandardHours.</w:t>
      </w:r>
    </w:p>
    <w:p>
      <w:pPr>
        <w:pStyle w:val="ListBullet"/>
      </w:pPr>
      <w:r>
        <w:t>Visualized distributions with histograms.</w:t>
      </w:r>
    </w:p>
    <w:p>
      <w:pPr>
        <w:pStyle w:val="ListBullet"/>
      </w:pPr>
      <w:r>
        <w:t>Trained a RandomForestClassifier and examined feature importance.</w:t>
      </w:r>
    </w:p>
    <w:p>
      <w:pPr>
        <w:pStyle w:val="Heading1"/>
      </w:pPr>
      <w:r>
        <w:t>Model Evaluation</w:t>
      </w:r>
    </w:p>
    <w:p>
      <w:r>
        <w:t>The notebook reports a test accuracy of 0.8163. That is not much better than the majority-class baseline, which is about 0.8401, so accuracy is not a strong measure of value for this problem.</w:t>
      </w:r>
    </w:p>
    <w:p>
      <w:pPr>
        <w:pStyle w:val="Heading2"/>
      </w:pPr>
      <w:r>
        <w:t>Observed Performance With a Reproducible Split</w:t>
      </w:r>
    </w:p>
    <w:tbl>
      <w:tblPr>
        <w:tblStyle w:val="TableGrid"/>
        <w:tblW w:type="dxa" w:w="9360"/>
        <w:tblLook w:firstColumn="1" w:firstRow="1" w:lastColumn="0" w:lastRow="0" w:noHBand="0" w:noVBand="1" w:val="04A0"/>
        <w:tblInd w:w="120" w:type="dxa"/>
        <w:tblLayout w:type="fixed"/>
        <w:tblBorders>
          <w:top w:val="single" w:sz="6" w:space="0" w:color="D9DDE3"/>
          <w:left w:val="single" w:sz="6" w:space="0" w:color="D9DDE3"/>
          <w:bottom w:val="single" w:sz="6" w:space="0" w:color="D9DDE3"/>
          <w:right w:val="single" w:sz="6" w:space="0" w:color="D9DDE3"/>
          <w:insideH w:val="single" w:sz="6" w:space="0" w:color="D9DDE3"/>
          <w:insideV w:val="single" w:sz="6" w:space="0" w:color="D9DDE3"/>
        </w:tblBorders>
      </w:tblPr>
      <w:tblGrid>
        <w:gridCol w:w="3000"/>
        <w:gridCol w:w="6360"/>
      </w:tblGrid>
      <w:tr>
        <w:tc>
          <w:tcPr>
            <w:tcW w:type="dxa" w:w="30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Accuracy</w:t>
            </w:r>
          </w:p>
        </w:tc>
        <w:tc>
          <w:tcPr>
            <w:tcW w:type="dxa" w:w="6360"/>
            <w:tcMar>
              <w:top w:w="80" w:type="dxa"/>
              <w:start w:w="120" w:type="dxa"/>
              <w:bottom w:w="80" w:type="dxa"/>
              <w:end w:w="120" w:type="dxa"/>
            </w:tcMar>
          </w:tcPr>
          <w:p>
            <w:pPr>
              <w:spacing w:before="0" w:after="0" w:line="240" w:lineRule="auto"/>
              <w:jc w:val="left"/>
            </w:pPr>
            <w:r/>
            <w:r>
              <w:rPr>
                <w:rFonts w:ascii="Calibri" w:hAnsi="Calibri"/>
                <w:b w:val="0"/>
                <w:color w:val="1F1F1F"/>
                <w:sz w:val="22"/>
              </w:rPr>
              <w:t>0.8435</w:t>
            </w:r>
          </w:p>
        </w:tc>
      </w:tr>
      <w:tr>
        <w:tc>
          <w:tcPr>
            <w:tcW w:type="dxa" w:w="30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ROC-AUC</w:t>
            </w:r>
          </w:p>
        </w:tc>
        <w:tc>
          <w:tcPr>
            <w:tcW w:type="dxa" w:w="6360"/>
            <w:tcMar>
              <w:top w:w="80" w:type="dxa"/>
              <w:start w:w="120" w:type="dxa"/>
              <w:bottom w:w="80" w:type="dxa"/>
              <w:end w:w="120" w:type="dxa"/>
            </w:tcMar>
          </w:tcPr>
          <w:p>
            <w:pPr>
              <w:spacing w:before="0" w:after="0" w:line="240" w:lineRule="auto"/>
              <w:jc w:val="left"/>
            </w:pPr>
            <w:r/>
            <w:r>
              <w:rPr>
                <w:rFonts w:ascii="Calibri" w:hAnsi="Calibri"/>
                <w:b w:val="0"/>
                <w:color w:val="1F1F1F"/>
                <w:sz w:val="22"/>
              </w:rPr>
              <w:t>0.7704</w:t>
            </w:r>
          </w:p>
        </w:tc>
      </w:tr>
      <w:tr>
        <w:tc>
          <w:tcPr>
            <w:tcW w:type="dxa" w:w="30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True negatives</w:t>
            </w:r>
          </w:p>
        </w:tc>
        <w:tc>
          <w:tcPr>
            <w:tcW w:type="dxa" w:w="6360"/>
            <w:tcMar>
              <w:top w:w="80" w:type="dxa"/>
              <w:start w:w="120" w:type="dxa"/>
              <w:bottom w:w="80" w:type="dxa"/>
              <w:end w:w="120" w:type="dxa"/>
            </w:tcMar>
          </w:tcPr>
          <w:p>
            <w:pPr>
              <w:spacing w:before="0" w:after="0" w:line="240" w:lineRule="auto"/>
              <w:jc w:val="left"/>
            </w:pPr>
            <w:r/>
            <w:r>
              <w:rPr>
                <w:rFonts w:ascii="Calibri" w:hAnsi="Calibri"/>
                <w:b w:val="0"/>
                <w:color w:val="1F1F1F"/>
                <w:sz w:val="22"/>
              </w:rPr>
              <w:t>244</w:t>
            </w:r>
          </w:p>
        </w:tc>
      </w:tr>
      <w:tr>
        <w:tc>
          <w:tcPr>
            <w:tcW w:type="dxa" w:w="30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False positives</w:t>
            </w:r>
          </w:p>
        </w:tc>
        <w:tc>
          <w:tcPr>
            <w:tcW w:type="dxa" w:w="6360"/>
            <w:tcMar>
              <w:top w:w="80" w:type="dxa"/>
              <w:start w:w="120" w:type="dxa"/>
              <w:bottom w:w="80" w:type="dxa"/>
              <w:end w:w="120" w:type="dxa"/>
            </w:tcMar>
          </w:tcPr>
          <w:p>
            <w:pPr>
              <w:spacing w:before="0" w:after="0" w:line="240" w:lineRule="auto"/>
              <w:jc w:val="left"/>
            </w:pPr>
            <w:r/>
            <w:r>
              <w:rPr>
                <w:rFonts w:ascii="Calibri" w:hAnsi="Calibri"/>
                <w:b w:val="0"/>
                <w:color w:val="1F1F1F"/>
                <w:sz w:val="22"/>
              </w:rPr>
              <w:t>3</w:t>
            </w:r>
          </w:p>
        </w:tc>
      </w:tr>
      <w:tr>
        <w:tc>
          <w:tcPr>
            <w:tcW w:type="dxa" w:w="30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False negatives</w:t>
            </w:r>
          </w:p>
        </w:tc>
        <w:tc>
          <w:tcPr>
            <w:tcW w:type="dxa" w:w="6360"/>
            <w:tcMar>
              <w:top w:w="80" w:type="dxa"/>
              <w:start w:w="120" w:type="dxa"/>
              <w:bottom w:w="80" w:type="dxa"/>
              <w:end w:w="120" w:type="dxa"/>
            </w:tcMar>
          </w:tcPr>
          <w:p>
            <w:pPr>
              <w:spacing w:before="0" w:after="0" w:line="240" w:lineRule="auto"/>
              <w:jc w:val="left"/>
            </w:pPr>
            <w:r/>
            <w:r>
              <w:rPr>
                <w:rFonts w:ascii="Calibri" w:hAnsi="Calibri"/>
                <w:b w:val="0"/>
                <w:color w:val="1F1F1F"/>
                <w:sz w:val="22"/>
              </w:rPr>
              <w:t>43</w:t>
            </w:r>
          </w:p>
        </w:tc>
      </w:tr>
      <w:tr>
        <w:tc>
          <w:tcPr>
            <w:tcW w:type="dxa" w:w="30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True positives</w:t>
            </w:r>
          </w:p>
        </w:tc>
        <w:tc>
          <w:tcPr>
            <w:tcW w:type="dxa" w:w="6360"/>
            <w:tcMar>
              <w:top w:w="80" w:type="dxa"/>
              <w:start w:w="120" w:type="dxa"/>
              <w:bottom w:w="80" w:type="dxa"/>
              <w:end w:w="120" w:type="dxa"/>
            </w:tcMar>
          </w:tcPr>
          <w:p>
            <w:pPr>
              <w:spacing w:before="0" w:after="0" w:line="240" w:lineRule="auto"/>
              <w:jc w:val="left"/>
            </w:pPr>
            <w:r/>
            <w:r>
              <w:rPr>
                <w:rFonts w:ascii="Calibri" w:hAnsi="Calibri"/>
                <w:b w:val="0"/>
                <w:color w:val="1F1F1F"/>
                <w:sz w:val="22"/>
              </w:rPr>
              <w:t>4</w:t>
            </w:r>
          </w:p>
        </w:tc>
      </w:tr>
      <w:tr>
        <w:tc>
          <w:tcPr>
            <w:tcW w:type="dxa" w:w="30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Attrition recall</w:t>
            </w:r>
          </w:p>
        </w:tc>
        <w:tc>
          <w:tcPr>
            <w:tcW w:type="dxa" w:w="6360"/>
            <w:tcMar>
              <w:top w:w="80" w:type="dxa"/>
              <w:start w:w="120" w:type="dxa"/>
              <w:bottom w:w="80" w:type="dxa"/>
              <w:end w:w="120" w:type="dxa"/>
            </w:tcMar>
          </w:tcPr>
          <w:p>
            <w:pPr>
              <w:spacing w:before="0" w:after="0" w:line="240" w:lineRule="auto"/>
              <w:jc w:val="left"/>
            </w:pPr>
            <w:r/>
            <w:r>
              <w:rPr>
                <w:rFonts w:ascii="Calibri" w:hAnsi="Calibri"/>
                <w:b w:val="0"/>
                <w:color w:val="1F1F1F"/>
                <w:sz w:val="22"/>
              </w:rPr>
              <w:t>0.085</w:t>
            </w:r>
          </w:p>
        </w:tc>
      </w:tr>
      <w:tr>
        <w:tc>
          <w:tcPr>
            <w:tcW w:type="dxa" w:w="3000"/>
            <w:shd w:fill="F2F4F7"/>
            <w:tcMar>
              <w:top w:w="80" w:type="dxa"/>
              <w:start w:w="120" w:type="dxa"/>
              <w:bottom w:w="80" w:type="dxa"/>
              <w:end w:w="120" w:type="dxa"/>
            </w:tcMar>
          </w:tcPr>
          <w:p>
            <w:pPr>
              <w:spacing w:before="0" w:after="0" w:line="240" w:lineRule="auto"/>
              <w:jc w:val="left"/>
            </w:pPr>
            <w:r/>
            <w:r>
              <w:rPr>
                <w:rFonts w:ascii="Calibri" w:hAnsi="Calibri"/>
                <w:b/>
                <w:color w:val="1F1F1F"/>
                <w:sz w:val="22"/>
              </w:rPr>
              <w:t>Attrition F1-score</w:t>
            </w:r>
          </w:p>
        </w:tc>
        <w:tc>
          <w:tcPr>
            <w:tcW w:type="dxa" w:w="6360"/>
            <w:tcMar>
              <w:top w:w="80" w:type="dxa"/>
              <w:start w:w="120" w:type="dxa"/>
              <w:bottom w:w="80" w:type="dxa"/>
              <w:end w:w="120" w:type="dxa"/>
            </w:tcMar>
          </w:tcPr>
          <w:p>
            <w:pPr>
              <w:spacing w:before="0" w:after="0" w:line="240" w:lineRule="auto"/>
              <w:jc w:val="left"/>
            </w:pPr>
            <w:r/>
            <w:r>
              <w:rPr>
                <w:rFonts w:ascii="Calibri" w:hAnsi="Calibri"/>
                <w:b w:val="0"/>
                <w:color w:val="1F1F1F"/>
                <w:sz w:val="22"/>
              </w:rPr>
              <w:t>0.148</w:t>
            </w:r>
          </w:p>
        </w:tc>
      </w:tr>
    </w:tbl>
    <w:p>
      <w:r>
        <w:t>The model is highly conservative. It correctly identifies most employees who remain, but it misses most employees who leave. That makes it weak for proactive attrition prevention.</w:t>
      </w:r>
    </w:p>
    <w:p>
      <w:pPr>
        <w:pStyle w:val="Heading1"/>
      </w:pPr>
      <w:r>
        <w:t>Most Influential Features</w:t>
      </w:r>
    </w:p>
    <w:p>
      <w:pPr>
        <w:pStyle w:val="ListBullet"/>
      </w:pPr>
      <w:r>
        <w:t>MonthlyIncome</w:t>
      </w:r>
    </w:p>
    <w:p>
      <w:pPr>
        <w:pStyle w:val="ListBullet"/>
      </w:pPr>
      <w:r>
        <w:t>Age</w:t>
      </w:r>
    </w:p>
    <w:p>
      <w:pPr>
        <w:pStyle w:val="ListBullet"/>
      </w:pPr>
      <w:r>
        <w:t>TotalWorkingYears</w:t>
      </w:r>
    </w:p>
    <w:p>
      <w:pPr>
        <w:pStyle w:val="ListBullet"/>
      </w:pPr>
      <w:r>
        <w:t>DailyRate</w:t>
      </w:r>
    </w:p>
    <w:p>
      <w:pPr>
        <w:pStyle w:val="ListBullet"/>
      </w:pPr>
      <w:r>
        <w:t>HourlyRate</w:t>
      </w:r>
    </w:p>
    <w:p>
      <w:pPr>
        <w:pStyle w:val="ListBullet"/>
      </w:pPr>
      <w:r>
        <w:t>MonthlyRate</w:t>
      </w:r>
    </w:p>
    <w:p>
      <w:pPr>
        <w:pStyle w:val="ListBullet"/>
      </w:pPr>
      <w:r>
        <w:t>DistanceFromHome</w:t>
      </w:r>
    </w:p>
    <w:p>
      <w:pPr>
        <w:pStyle w:val="ListBullet"/>
      </w:pPr>
      <w:r>
        <w:t>OverTime</w:t>
      </w:r>
    </w:p>
    <w:p>
      <w:pPr>
        <w:pStyle w:val="ListBullet"/>
      </w:pPr>
      <w:r>
        <w:t>YearsWithCurrManager</w:t>
      </w:r>
    </w:p>
    <w:p>
      <w:pPr>
        <w:pStyle w:val="ListBullet"/>
      </w:pPr>
      <w:r>
        <w:t>YearsAtCompany</w:t>
      </w:r>
    </w:p>
    <w:p>
      <w:pPr>
        <w:pStyle w:val="Heading1"/>
      </w:pPr>
      <w:r>
        <w:t>Interpretation</w:t>
      </w:r>
    </w:p>
    <w:p>
      <w:r>
        <w:t>The strongest signals are related to pay, career stage, tenure, commuting distance, overtime, and time in role. These are plausible attrition drivers and line up with common HR patterns.</w:t>
      </w:r>
    </w:p>
    <w:p>
      <w:pPr>
        <w:pStyle w:val="Heading1"/>
      </w:pPr>
      <w:r>
        <w:t>Strengths</w:t>
      </w:r>
    </w:p>
    <w:p>
      <w:pPr>
        <w:pStyle w:val="ListBullet"/>
      </w:pPr>
      <w:r>
        <w:t>Uses a real business dataset with a meaningful target.</w:t>
      </w:r>
    </w:p>
    <w:p>
      <w:pPr>
        <w:pStyle w:val="ListBullet"/>
      </w:pPr>
      <w:r>
        <w:t>Applies appropriate encoding for categorical variables.</w:t>
      </w:r>
    </w:p>
    <w:p>
      <w:pPr>
        <w:pStyle w:val="ListBullet"/>
      </w:pPr>
      <w:r>
        <w:t>Provides a working baseline model and feature-importance view.</w:t>
      </w:r>
    </w:p>
    <w:p>
      <w:pPr>
        <w:pStyle w:val="ListBullet"/>
      </w:pPr>
      <w:r>
        <w:t>Keeps the workflow simple enough to understand quickly.</w:t>
      </w:r>
    </w:p>
    <w:p>
      <w:pPr>
        <w:pStyle w:val="Heading1"/>
      </w:pPr>
      <w:r>
        <w:t>Limitations</w:t>
      </w:r>
    </w:p>
    <w:p>
      <w:pPr>
        <w:pStyle w:val="ListBullet"/>
      </w:pPr>
      <w:r>
        <w:t>Accuracy is overemphasized even though the classes are imbalanced.</w:t>
      </w:r>
    </w:p>
    <w:p>
      <w:pPr>
        <w:pStyle w:val="ListBullet"/>
      </w:pPr>
      <w:r>
        <w:t>No fixed random state is used, so results are not reproducible.</w:t>
      </w:r>
    </w:p>
    <w:p>
      <w:pPr>
        <w:pStyle w:val="ListBullet"/>
      </w:pPr>
      <w:r>
        <w:t>No stratification is used during train-test splitting.</w:t>
      </w:r>
    </w:p>
    <w:p>
      <w:pPr>
        <w:pStyle w:val="ListBullet"/>
      </w:pPr>
      <w:r>
        <w:t>No cross-validation or hyperparameter tuning is included.</w:t>
      </w:r>
    </w:p>
    <w:p>
      <w:pPr>
        <w:pStyle w:val="ListBullet"/>
      </w:pPr>
      <w:r>
        <w:t>Recall for the attrition class is very low.</w:t>
      </w:r>
    </w:p>
    <w:p>
      <w:pPr>
        <w:pStyle w:val="Heading1"/>
      </w:pPr>
      <w:r>
        <w:t>Recommended Next Steps</w:t>
      </w:r>
    </w:p>
    <w:p>
      <w:pPr>
        <w:pStyle w:val="ListNumber"/>
      </w:pPr>
      <w:r>
        <w:t>Use a reproducible stratified split with a fixed random_state.</w:t>
      </w:r>
    </w:p>
    <w:p>
      <w:pPr>
        <w:pStyle w:val="ListNumber"/>
      </w:pPr>
      <w:r>
        <w:t>Report precision, recall, F1-score, ROC-AUC, and the confusion matrix.</w:t>
      </w:r>
    </w:p>
    <w:p>
      <w:pPr>
        <w:pStyle w:val="ListNumber"/>
      </w:pPr>
      <w:r>
        <w:t>Try class balancing approaches such as class_weight='balanced' or SMOTE.</w:t>
      </w:r>
    </w:p>
    <w:p>
      <w:pPr>
        <w:pStyle w:val="ListNumber"/>
      </w:pPr>
      <w:r>
        <w:t>Compare multiple models, including logistic regression and gradient boosting.</w:t>
      </w:r>
    </w:p>
    <w:p>
      <w:pPr>
        <w:pStyle w:val="ListNumber"/>
      </w:pPr>
      <w:r>
        <w:t>Tune hyperparameters with cross-validation.</w:t>
      </w:r>
    </w:p>
    <w:p>
      <w:pPr>
        <w:pStyle w:val="ListNumber"/>
      </w:pPr>
      <w:r>
        <w:t>Add explainability with permutation importance or SHAP.</w:t>
      </w:r>
    </w:p>
    <w:p>
      <w:pPr>
        <w:pStyle w:val="Heading1"/>
      </w:pPr>
      <w:r>
        <w:t>Conclusion</w:t>
      </w:r>
    </w:p>
    <w:p>
      <w:r>
        <w:t>This project is a strong first-pass attrition analysis, but it is not yet a production-ready predictor. The data contains useful signals, especially around income, age, tenure, and overtime, but the model needs better evaluation and stronger class-imbalance handling before it can reliably support HR decision-making.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